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F" w:rsidRPr="0036178B" w:rsidRDefault="007A61C8" w:rsidP="007A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C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C8" w:rsidRDefault="007A61C8" w:rsidP="007A61C8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Zał. nr 3 do SWZ</w:t>
      </w:r>
    </w:p>
    <w:p w:rsidR="007A61C8" w:rsidRDefault="007A61C8" w:rsidP="007A61C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OR.273.24.2021</w:t>
      </w:r>
    </w:p>
    <w:p w:rsidR="007A61C8" w:rsidRDefault="007A61C8" w:rsidP="007A61C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6178B" w:rsidRPr="0036178B" w:rsidRDefault="0036178B" w:rsidP="007A61C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8B">
        <w:rPr>
          <w:rFonts w:ascii="Times New Roman" w:hAnsi="Times New Roman" w:cs="Times New Roman"/>
          <w:b/>
          <w:sz w:val="24"/>
          <w:szCs w:val="24"/>
        </w:rPr>
        <w:t>ELEMENTY HYDRAULICZNE I ELEKTROHYDRAULICZNE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FA4D40" w:rsidRPr="00F7058F" w:rsidTr="00FA4D40">
        <w:trPr>
          <w:trHeight w:val="756"/>
        </w:trPr>
        <w:tc>
          <w:tcPr>
            <w:tcW w:w="567" w:type="dxa"/>
            <w:vAlign w:val="center"/>
          </w:tcPr>
          <w:p w:rsidR="00FA4D40" w:rsidRPr="00F7058F" w:rsidRDefault="00FA4D40" w:rsidP="008B4FA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FA4D40" w:rsidRPr="00F7058F" w:rsidRDefault="00FA4D40" w:rsidP="008B4FA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</w:t>
            </w:r>
            <w:r w:rsidRPr="00F7058F">
              <w:rPr>
                <w:rFonts w:cstheme="minorHAnsi"/>
                <w:b/>
                <w:color w:val="000000"/>
              </w:rPr>
              <w:t>rzedmiot zamówienia</w:t>
            </w:r>
          </w:p>
        </w:tc>
        <w:tc>
          <w:tcPr>
            <w:tcW w:w="6379" w:type="dxa"/>
            <w:vAlign w:val="center"/>
          </w:tcPr>
          <w:p w:rsidR="00FA4D40" w:rsidRPr="00F7058F" w:rsidRDefault="00FA4D40" w:rsidP="00FA4D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F7058F">
              <w:rPr>
                <w:rFonts w:cstheme="minorHAnsi"/>
                <w:b/>
              </w:rPr>
              <w:t>arametry techniczne, opis</w:t>
            </w:r>
          </w:p>
        </w:tc>
        <w:tc>
          <w:tcPr>
            <w:tcW w:w="709" w:type="dxa"/>
            <w:vAlign w:val="center"/>
          </w:tcPr>
          <w:p w:rsidR="00FA4D40" w:rsidRPr="00FA4D40" w:rsidRDefault="00FA4D40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36178B" w:rsidRDefault="0036178B" w:rsidP="00FA4D40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hydrauliczny 4/2 </w:t>
            </w:r>
            <w:r w:rsidRPr="00F7058F">
              <w:rPr>
                <w:rFonts w:cstheme="minorHAnsi"/>
                <w:b/>
                <w:color w:val="000000"/>
              </w:rPr>
              <w:br/>
              <w:t>z dźwignią ręczną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Zawór 4/2-drogowy z dźwignią ręczną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, ze sprężyną cofającą - Uruchamianie ręczne.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bar).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bar). Schemat podłączenia zaworów hydraulicznych ISO/DIN 4401 wielkość 02. Odporne na przecieki oleju złączki samouszczelniające. System szybkiego mocowania niewymagający użycia dodatkowych narzędzi. 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hydrauliczny 4/3 </w:t>
            </w:r>
            <w:r w:rsidRPr="00F7058F">
              <w:rPr>
                <w:rFonts w:cstheme="minorHAnsi"/>
                <w:b/>
                <w:color w:val="000000"/>
              </w:rPr>
              <w:br/>
              <w:t>z dźwignią ręczną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Zawór 4/3-drogowy z dźwignią ręczną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, położenie środkowe blokowane, niecofający - Uruchamianie ręczne,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bar),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bar), Schemat podłączenia zaworów hydraulicznych ISO/DIN 4401 wielkość 02, Odporne na przecieki oleju złączki samouszczelniające, System szybkiego mocowania niewymagający użycia dodatkowych 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br/>
              <w:t>narzędzi.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Elektrozawór hydrauliczny 4/2 monostabilny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Cs/>
                <w:kern w:val="36"/>
              </w:rPr>
            </w:pPr>
            <w:r w:rsidRPr="00F7058F">
              <w:rPr>
                <w:rFonts w:cstheme="minorHAnsi"/>
                <w:b/>
              </w:rPr>
              <w:t xml:space="preserve">Zawór elektromagnetyczny 4/2-drogowy, ze sprężyną cofającą monostabilny </w:t>
            </w:r>
            <w:r w:rsidRPr="00F7058F">
              <w:rPr>
                <w:rFonts w:cstheme="minorHAnsi"/>
              </w:rPr>
              <w:t>-</w:t>
            </w:r>
            <w:r w:rsidRPr="00F7058F">
              <w:rPr>
                <w:rFonts w:cstheme="minorHAnsi"/>
                <w:b/>
              </w:rPr>
              <w:t xml:space="preserve"> </w:t>
            </w:r>
            <w:r w:rsidRPr="00F7058F">
              <w:rPr>
                <w:rFonts w:cstheme="minorHAnsi"/>
              </w:rPr>
              <w:t xml:space="preserve">Uruchamianie przez magnes załączający, Ciśnienie robocze 6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(60 bar), Maksymalne dopuszczalne ciśnienie 12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(120 bar), Schemat podłączenia zaworów hydraulicznych ISO/DIN 4401 wielkość 02, Odporne na przecieki oleju złączki samouszczelniające, Napięcie 24 V DC, Moc 6,5 W, Przyłącze elektryczne, gniazdo bezpieczeństwa 4 mm, System szybkiego mocowania </w:t>
            </w:r>
            <w:r w:rsidRPr="00F7058F">
              <w:rPr>
                <w:rFonts w:cstheme="minorHAnsi"/>
                <w:bCs/>
                <w:kern w:val="36"/>
              </w:rPr>
              <w:t xml:space="preserve">niewymagający użycia dodatkowych </w:t>
            </w:r>
          </w:p>
          <w:p w:rsidR="00F7058F" w:rsidRPr="00F7058F" w:rsidRDefault="00F7058F" w:rsidP="00FA4D40">
            <w:pPr>
              <w:rPr>
                <w:rFonts w:cstheme="minorHAnsi"/>
              </w:rPr>
            </w:pPr>
            <w:r w:rsidRPr="00F7058F">
              <w:rPr>
                <w:rFonts w:cstheme="minorHAnsi"/>
                <w:bCs/>
                <w:kern w:val="36"/>
              </w:rPr>
              <w:t>narzędzi.</w:t>
            </w:r>
            <w:r w:rsidRPr="00F7058F">
              <w:rPr>
                <w:rFonts w:cstheme="minorHAnsi"/>
              </w:rPr>
              <w:t xml:space="preserve"> </w:t>
            </w:r>
          </w:p>
          <w:p w:rsidR="00F7058F" w:rsidRPr="00F7058F" w:rsidRDefault="00F7058F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Elektrozawór hydrauliczny 4/2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bistabilny</w:t>
            </w:r>
            <w:proofErr w:type="spellEnd"/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</w:rPr>
            </w:pPr>
            <w:r w:rsidRPr="00F7058F">
              <w:rPr>
                <w:rFonts w:cstheme="minorHAnsi"/>
                <w:b/>
                <w:bCs/>
              </w:rPr>
              <w:t xml:space="preserve">Zawór impulsowy elektromagnetyczny 4/2-drogowy </w:t>
            </w:r>
            <w:proofErr w:type="spellStart"/>
            <w:r w:rsidRPr="00F7058F">
              <w:rPr>
                <w:rFonts w:cstheme="minorHAnsi"/>
                <w:b/>
                <w:bCs/>
              </w:rPr>
              <w:t>bistabilny</w:t>
            </w:r>
            <w:proofErr w:type="spellEnd"/>
            <w:r w:rsidRPr="00F7058F">
              <w:rPr>
                <w:rFonts w:cstheme="minorHAnsi"/>
              </w:rPr>
              <w:t xml:space="preserve">, niecofający - Uruchamianie przez magnes załączający, Ciśnienie robocze 6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(60 bar), Maksymalne dopuszczalne ciśnienie 12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(120 bar), Schemat podłączenia zaworów hydraulicznych ISO/DIN 4401 wielkość 02, Odporne na przecieki oleju złączki samouszczelniające, Napięcie </w:t>
            </w:r>
            <w:r w:rsidRPr="00F7058F">
              <w:rPr>
                <w:rFonts w:cstheme="minorHAnsi"/>
              </w:rPr>
              <w:br/>
              <w:t xml:space="preserve">24 V DC, Moc 6,5 W, Przyłącze elektryczne, gniazdo bezpieczeństwa 4 mm, System szybkiego mocowania niewymagający użycia dodatkowych narzędzi. 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Elektrozawór hydrauliczny 4/3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</w:rPr>
            </w:pPr>
            <w:r w:rsidRPr="00F7058F">
              <w:rPr>
                <w:rFonts w:cstheme="minorHAnsi"/>
                <w:b/>
                <w:bCs/>
              </w:rPr>
              <w:t xml:space="preserve">Zawór elektromagnetyczny 4/3-drogowy ze środkowym położeniem blokowanym </w:t>
            </w:r>
            <w:r w:rsidRPr="00F7058F">
              <w:rPr>
                <w:rFonts w:cstheme="minorHAnsi"/>
              </w:rPr>
              <w:t xml:space="preserve">- Uruchamianie przez magnes załączający, Ciśnienie robocze 6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(60 bar), Maksymalne dopuszczalne ciśnienie 12 </w:t>
            </w:r>
            <w:proofErr w:type="spellStart"/>
            <w:r w:rsidRPr="00F7058F">
              <w:rPr>
                <w:rFonts w:cstheme="minorHAnsi"/>
              </w:rPr>
              <w:t>MPa</w:t>
            </w:r>
            <w:proofErr w:type="spellEnd"/>
            <w:r w:rsidRPr="00F7058F">
              <w:rPr>
                <w:rFonts w:cstheme="minorHAnsi"/>
              </w:rPr>
              <w:t xml:space="preserve"> (120 bar), Schemat podłączenia zaworów hydraulicznych ISO/DIN 4401 wielkość 02, Odporne na przecieki oleju złączki samouszczelniające, Napięcie 24 V DC, Moc 6,5 W, Przyłącze elektryczne, gniazdo bezpieczeństwa 4 mm, System </w:t>
            </w:r>
            <w:r w:rsidRPr="00F7058F">
              <w:rPr>
                <w:rFonts w:cstheme="minorHAnsi"/>
              </w:rPr>
              <w:lastRenderedPageBreak/>
              <w:t xml:space="preserve">szybkiego mocowania niewymagający użycia dodatkowych narzędzi. 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lastRenderedPageBreak/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 w:themeColor="text1"/>
              </w:rPr>
            </w:pPr>
            <w:r w:rsidRPr="00F7058F">
              <w:rPr>
                <w:rFonts w:cstheme="minorHAnsi"/>
                <w:b/>
                <w:color w:val="000000" w:themeColor="text1"/>
              </w:rPr>
              <w:t>Silnik hydrauliczny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Silnik hydrostatyczny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- Silnik jest wprawiany w ruch wirowy przez strumień przepływu. Wraz ze zmianą kierunku przepływu zmienia się także kierunek obrotów. Wyciekający płyn w silniku jest odprowadzany na stronę o niższym ciśnieniu przez zawór wielodrogowy.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bar),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bar), Maksymalne dopuszczalne ciśnienie w przewodzie powrotnym wynosi 5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(50 bar), Chłonność 8,2 cm³ na obrót, 0 – 10 l/min odpowiada 0 – 1 220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./min, Typ: Orbit, Odporne na przecieki oleju złączki samouszczelniające, System szybkiego mocowania niewymagający użycia dodatkowych narzędzi. </w:t>
            </w:r>
          </w:p>
          <w:p w:rsidR="00F7058F" w:rsidRPr="00F7058F" w:rsidRDefault="00F7058F" w:rsidP="00FA4D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Siłownik hydrauliczny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Siłownik różnicowy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16/10/200 z pokrywą -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bar),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bar), Dwustronne działanie, Odporne na przecieki oleju złączki samouszczelniające, System szybkiego mocowania niewymagający użycia dodatkowych narzędzi, 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Ø tłoka: 16 mm, Ø tłoczyska: 10 mm, Skok: 200 mm, Stosunek powierzchni 1: 1,6 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Przewód giętki z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szybkozłączką</w:t>
            </w:r>
            <w:proofErr w:type="spellEnd"/>
            <w:r w:rsidRPr="00F7058F">
              <w:rPr>
                <w:rFonts w:cstheme="minorHAnsi"/>
                <w:b/>
                <w:color w:val="000000"/>
              </w:rPr>
              <w:t>, 600mm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Przewód giętki z </w:t>
            </w:r>
            <w:proofErr w:type="spellStart"/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szybkozłączką</w:t>
            </w:r>
            <w:proofErr w:type="spellEnd"/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600 mm 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- Wąż wysokociśnieniowy składa się z trzech warstw: warstwa wewnętrzna z gumy syntetycznej, plecionka druciana i warstwa wierzchnia z nieścieralnej gumy syntetycznej. Gniazda wtykowe po odłączeniu są samouszczelniające. W połączeniu ze złączką można utworzyć połączenie hydrauliczne uszczelnione na zewnątrz. Podczas łączenia tylko powierzchnia czołowa złączki zostaje nawilżona olejem. Łączenie i rozłączanie jest dopuszczalne tylko w stanie bezciśnieniowym.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bar).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bar). Zakres temperatur -40 – +125°C. Minimalny promień zgięcia 100 mm. DN 06 (Ø 6,3 mm). Długość 600 mm. </w:t>
            </w:r>
          </w:p>
          <w:p w:rsidR="00F7058F" w:rsidRPr="00F7058F" w:rsidRDefault="00F7058F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Przewód giętki z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szybkozłączką</w:t>
            </w:r>
            <w:proofErr w:type="spellEnd"/>
            <w:r w:rsidRPr="00F7058F">
              <w:rPr>
                <w:rFonts w:cstheme="minorHAnsi"/>
                <w:b/>
                <w:color w:val="000000"/>
              </w:rPr>
              <w:t>, 1000mm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Przewód giętki z </w:t>
            </w:r>
            <w:proofErr w:type="spellStart"/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szybkozłączką</w:t>
            </w:r>
            <w:proofErr w:type="spellEnd"/>
            <w:r w:rsidRPr="00F70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1000 mm </w:t>
            </w: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- Wąż wysokociśnieniowy składa się z trzech warstw: warstwa wewnętrzna z gumy syntetycznej, plecionka druciana i warstwa wierzchnia z nieścieralnej gumy syntetycznej. Gniazda wtykowe po odłączeniu są samouszczelniające. W połączeniu ze złączką można utworzyć połączenie hydrauliczne uszczelnione na zewnątrz. Podczas łączenia tylko powierzchnia czołowa złączki zostaje nawilżona olejem. Łączenie i rozłączanie jest dopuszczalne tylko w stanie bezciśnieniowym. Ciśnienie robocze 6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(60 bar). Maksymalne dopuszczalne ciśnienie 12 </w:t>
            </w:r>
            <w:proofErr w:type="spellStart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 (120 bar). Zakres temperatur -40 – +125°C. Minimalny promień zgięcia 100 mm. DN 06 (Ø 6,3 mm). Długość 1000 mm. </w:t>
            </w:r>
          </w:p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FA4D40">
        <w:tc>
          <w:tcPr>
            <w:tcW w:w="567" w:type="dxa"/>
            <w:vAlign w:val="center"/>
          </w:tcPr>
          <w:p w:rsidR="00F7058F" w:rsidRPr="00F7058F" w:rsidRDefault="0036178B" w:rsidP="00FA4D4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7058F" w:rsidRPr="00F7058F" w:rsidRDefault="00F7058F" w:rsidP="00FA4D40">
            <w:pPr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</w:rPr>
              <w:t>Program do projektowania</w:t>
            </w:r>
            <w:r w:rsidRPr="00F7058F">
              <w:rPr>
                <w:rFonts w:cstheme="minorHAnsi"/>
                <w:b/>
                <w:bCs/>
              </w:rPr>
              <w:br/>
              <w:t>i symulacji układów hydraulicznych</w:t>
            </w:r>
            <w:r w:rsidRPr="00F7058F">
              <w:rPr>
                <w:rFonts w:cstheme="minorHAnsi"/>
                <w:b/>
                <w:bCs/>
              </w:rPr>
              <w:br/>
              <w:t>i elektrohydraulicznych</w:t>
            </w:r>
          </w:p>
        </w:tc>
        <w:tc>
          <w:tcPr>
            <w:tcW w:w="6379" w:type="dxa"/>
            <w:vAlign w:val="center"/>
          </w:tcPr>
          <w:p w:rsidR="00F7058F" w:rsidRPr="00F7058F" w:rsidRDefault="00F7058F" w:rsidP="00FA4D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6270">
              <w:rPr>
                <w:rFonts w:asciiTheme="minorHAnsi" w:hAnsiTheme="minorHAnsi" w:cstheme="minorHAnsi"/>
                <w:sz w:val="22"/>
                <w:szCs w:val="22"/>
              </w:rPr>
              <w:t>Program do projektowania i symulacji układów hydraulicznych i elektrohydraulicznych</w:t>
            </w:r>
          </w:p>
          <w:p w:rsidR="00F7058F" w:rsidRPr="00586270" w:rsidRDefault="00F7058F" w:rsidP="00FA4D40">
            <w:pPr>
              <w:pStyle w:val="Default"/>
              <w:rPr>
                <w:rFonts w:cstheme="minorHAnsi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Oprogramowanie symulacyjne umożliwiające m.in. projektowanie i symulację układów elektro-hydraulicznych również regulacji proporcjonalnej napędów elektrohydraulicznych. Ma to pozwolić na symulowanie działania układu elektrohydraulicznego wyposażonego w układ sterowania PID i zmiennych stanu. Oprogramowanie powinno umożliwiać </w:t>
            </w:r>
            <w:r w:rsidR="005862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270">
              <w:rPr>
                <w:rFonts w:asciiTheme="minorHAnsi" w:hAnsiTheme="minorHAnsi" w:cstheme="minorHAnsi"/>
                <w:sz w:val="22"/>
                <w:szCs w:val="22"/>
              </w:rPr>
              <w:t xml:space="preserve">projektowanie układów wykonawczych i sterowania, symulację ich działania oraz w przypadku </w:t>
            </w:r>
            <w:proofErr w:type="spellStart"/>
            <w:r w:rsidRPr="005862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elektrohydrauliki</w:t>
            </w:r>
            <w:proofErr w:type="spellEnd"/>
            <w:r w:rsidRPr="00586270">
              <w:rPr>
                <w:rFonts w:asciiTheme="minorHAnsi" w:hAnsiTheme="minorHAnsi" w:cstheme="minorHAnsi"/>
                <w:sz w:val="22"/>
                <w:szCs w:val="22"/>
              </w:rPr>
              <w:t xml:space="preserve"> dołączanie, poprzez specjalizowany sprzęg (interfejs), do rzeczywistych elementów układów automatyki lub do urządzeń sterujących. Oprogramowanie powinno umożliwiać programowanie pracy układu automatyki zarówno w języku GRAFCET,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Program musi być w języku polskim </w:t>
            </w:r>
          </w:p>
        </w:tc>
        <w:tc>
          <w:tcPr>
            <w:tcW w:w="709" w:type="dxa"/>
            <w:vAlign w:val="center"/>
          </w:tcPr>
          <w:p w:rsidR="00F7058F" w:rsidRPr="00F7058F" w:rsidRDefault="00F7058F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lastRenderedPageBreak/>
              <w:t>6</w:t>
            </w: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AF" w:rsidRDefault="007B6FAF" w:rsidP="006E1420">
      <w:pPr>
        <w:spacing w:after="0" w:line="240" w:lineRule="auto"/>
      </w:pPr>
      <w:r>
        <w:separator/>
      </w:r>
    </w:p>
  </w:endnote>
  <w:endnote w:type="continuationSeparator" w:id="0">
    <w:p w:rsidR="007B6FAF" w:rsidRDefault="007B6FAF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AF" w:rsidRDefault="007B6FAF" w:rsidP="006E1420">
      <w:pPr>
        <w:spacing w:after="0" w:line="240" w:lineRule="auto"/>
      </w:pPr>
      <w:r>
        <w:separator/>
      </w:r>
    </w:p>
  </w:footnote>
  <w:footnote w:type="continuationSeparator" w:id="0">
    <w:p w:rsidR="007B6FAF" w:rsidRDefault="007B6FAF" w:rsidP="006E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24FAD"/>
    <w:rsid w:val="00037D11"/>
    <w:rsid w:val="00050A60"/>
    <w:rsid w:val="00093B6B"/>
    <w:rsid w:val="00123DE0"/>
    <w:rsid w:val="00134E21"/>
    <w:rsid w:val="00154DCC"/>
    <w:rsid w:val="0015688C"/>
    <w:rsid w:val="00176C41"/>
    <w:rsid w:val="001772CF"/>
    <w:rsid w:val="00180B9F"/>
    <w:rsid w:val="00197163"/>
    <w:rsid w:val="001D715C"/>
    <w:rsid w:val="001E0FC9"/>
    <w:rsid w:val="001F2A66"/>
    <w:rsid w:val="00216BC9"/>
    <w:rsid w:val="00242E5D"/>
    <w:rsid w:val="002637E5"/>
    <w:rsid w:val="0027452B"/>
    <w:rsid w:val="00294DE1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C630F"/>
    <w:rsid w:val="003E133A"/>
    <w:rsid w:val="003F5D4C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86209"/>
    <w:rsid w:val="00586270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A61C8"/>
    <w:rsid w:val="007B6FAF"/>
    <w:rsid w:val="007F27FF"/>
    <w:rsid w:val="00817E01"/>
    <w:rsid w:val="00850DC2"/>
    <w:rsid w:val="008B132D"/>
    <w:rsid w:val="008E0FF5"/>
    <w:rsid w:val="008F0DC7"/>
    <w:rsid w:val="009154B6"/>
    <w:rsid w:val="00917ACD"/>
    <w:rsid w:val="009318A8"/>
    <w:rsid w:val="00940DAF"/>
    <w:rsid w:val="009467D0"/>
    <w:rsid w:val="00953E7C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B16A6"/>
    <w:rsid w:val="00AC03A6"/>
    <w:rsid w:val="00B26D87"/>
    <w:rsid w:val="00B67DFF"/>
    <w:rsid w:val="00B91EE5"/>
    <w:rsid w:val="00BA058A"/>
    <w:rsid w:val="00C373CB"/>
    <w:rsid w:val="00C423A7"/>
    <w:rsid w:val="00C46754"/>
    <w:rsid w:val="00CF299C"/>
    <w:rsid w:val="00D17DE3"/>
    <w:rsid w:val="00D37E0B"/>
    <w:rsid w:val="00DB14D7"/>
    <w:rsid w:val="00DD5477"/>
    <w:rsid w:val="00E26152"/>
    <w:rsid w:val="00E276C3"/>
    <w:rsid w:val="00E43A5A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21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A524-8940-476A-BD8D-0E3A263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2</cp:revision>
  <dcterms:created xsi:type="dcterms:W3CDTF">2021-11-25T11:18:00Z</dcterms:created>
  <dcterms:modified xsi:type="dcterms:W3CDTF">2021-11-25T11:18:00Z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