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AC" w:rsidRDefault="009E42AC"/>
    <w:p w:rsidR="009E42AC" w:rsidRDefault="009E42AC" w:rsidP="009E42AC">
      <w:pPr>
        <w:jc w:val="center"/>
      </w:pPr>
      <w:r w:rsidRPr="009E42AC">
        <w:rPr>
          <w:noProof/>
          <w:lang w:eastAsia="pl-PL"/>
        </w:rPr>
        <w:drawing>
          <wp:inline distT="0" distB="0" distL="0" distR="0">
            <wp:extent cx="7015752" cy="451262"/>
            <wp:effectExtent l="19050" t="0" r="0" b="0"/>
            <wp:docPr id="5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AC" w:rsidRDefault="009E42AC"/>
    <w:p w:rsidR="009E42AC" w:rsidRDefault="000C65E8">
      <w:r>
        <w:t>OR.273.15</w:t>
      </w:r>
      <w:r w:rsidR="009E42AC">
        <w:t>.2020</w:t>
      </w:r>
    </w:p>
    <w:p w:rsidR="009E42AC" w:rsidRDefault="000C65E8" w:rsidP="009E42AC">
      <w:pPr>
        <w:jc w:val="right"/>
      </w:pPr>
      <w:proofErr w:type="spellStart"/>
      <w:r>
        <w:t>Zal</w:t>
      </w:r>
      <w:proofErr w:type="spellEnd"/>
      <w:r>
        <w:t xml:space="preserve"> nr 4.</w:t>
      </w:r>
      <w:r w:rsidR="009E42AC">
        <w:t xml:space="preserve"> do SIWZ </w:t>
      </w:r>
    </w:p>
    <w:p w:rsidR="009E42AC" w:rsidRPr="009E42AC" w:rsidRDefault="009E42AC" w:rsidP="009E42A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E42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Formularz cenowo-techniczny - składany wraz z ofertą</w:t>
      </w:r>
    </w:p>
    <w:p w:rsidR="009E42AC" w:rsidRDefault="009E42AC"/>
    <w:tbl>
      <w:tblPr>
        <w:tblW w:w="140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2835"/>
        <w:gridCol w:w="2693"/>
        <w:gridCol w:w="1276"/>
        <w:gridCol w:w="2126"/>
        <w:gridCol w:w="2126"/>
        <w:gridCol w:w="2126"/>
      </w:tblGrid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000000"/>
              </w:rPr>
            </w:pPr>
            <w:r w:rsidRPr="009E42AC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Przedmiot zamówienia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9E42AC">
              <w:rPr>
                <w:rFonts w:cstheme="minorHAnsi"/>
                <w:b/>
              </w:rPr>
              <w:t>ymagane minimalne parametry techniczne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9E42AC" w:rsidRDefault="00D2268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9E42AC"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 w zł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w zł = 4 x 5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2AC" w:rsidRPr="009E42AC" w:rsidRDefault="009E42AC" w:rsidP="009E4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</w:t>
            </w:r>
            <w:proofErr w:type="spellStart"/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  <w:proofErr w:type="spellEnd"/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zawarta    w kolumnie 6 wyrażona w %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000000"/>
              </w:rPr>
            </w:pPr>
            <w:r w:rsidRPr="009E42AC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cstheme="minorHAnsi"/>
                <w:b/>
              </w:rPr>
            </w:pPr>
            <w:r w:rsidRPr="009E42AC">
              <w:rPr>
                <w:rFonts w:cstheme="minorHAnsi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</w:t>
            </w: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5E8" w:rsidRDefault="000C65E8" w:rsidP="000C65E8">
            <w:pPr>
              <w:rPr>
                <w:rFonts w:ascii="Calibri" w:hAnsi="Calibri" w:cs="Calibri"/>
                <w:color w:val="00000A"/>
              </w:rPr>
            </w:pPr>
            <w:r>
              <w:rPr>
                <w:rFonts w:ascii="Calibri" w:hAnsi="Calibri" w:cs="Calibri"/>
                <w:color w:val="00000A"/>
              </w:rPr>
              <w:t>Bluzy kucharskie z długim rękawem  i logo szkoły</w:t>
            </w:r>
          </w:p>
          <w:p w:rsidR="009E42AC" w:rsidRDefault="009E42AC" w:rsidP="007C613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C65E8" w:rsidRDefault="000C65E8" w:rsidP="000C65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Tkanina: 40%PES/60%BW, zapinanie na kryte napy, dwie pod szyją.  Podkrój szyi wykończony stójką. Jedna kieszeń piersiowa naszywana, nad nią napis z logo szkoły. Kontrastowe wypustki w stójce, kancie z przodu i kieszeni/</w:t>
            </w:r>
            <w:r>
              <w:rPr>
                <w:rFonts w:ascii="Calibri" w:hAnsi="Calibri" w:cs="Calibri"/>
              </w:rPr>
              <w:t xml:space="preserve">czarna bluza-wypustka bordowa, czarna bluza- wypustka biała, biała bluza- wypustka </w:t>
            </w:r>
            <w:r>
              <w:rPr>
                <w:rFonts w:ascii="Calibri" w:hAnsi="Calibri" w:cs="Calibri"/>
              </w:rPr>
              <w:lastRenderedPageBreak/>
              <w:t>granatowa/ - po 20 szt. w każdym kolorze.</w:t>
            </w:r>
            <w:r>
              <w:rPr>
                <w:rFonts w:ascii="Calibri" w:hAnsi="Calibri" w:cs="Calibri"/>
                <w:color w:val="000000"/>
              </w:rPr>
              <w:t xml:space="preserve"> Jedna kieszeń z przegródką na lewym rękawie.</w:t>
            </w:r>
          </w:p>
          <w:p w:rsidR="000C65E8" w:rsidRPr="00A96FB1" w:rsidRDefault="000C65E8" w:rsidP="000C65E8">
            <w:pPr>
              <w:spacing w:after="0"/>
              <w:rPr>
                <w:rFonts w:cstheme="minorHAnsi"/>
              </w:rPr>
            </w:pPr>
          </w:p>
          <w:p w:rsidR="009E42AC" w:rsidRPr="00A96FB1" w:rsidRDefault="009E42AC" w:rsidP="00A96FB1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Czapki kucharskie </w:t>
            </w:r>
            <w:proofErr w:type="spellStart"/>
            <w:r>
              <w:rPr>
                <w:rFonts w:ascii="Calibri" w:hAnsi="Calibri" w:cs="Calibri"/>
                <w:color w:val="000000"/>
              </w:rPr>
              <w:t>budyniówki</w:t>
            </w:r>
            <w:proofErr w:type="spellEnd"/>
          </w:p>
          <w:p w:rsidR="009E42AC" w:rsidRDefault="009E42AC" w:rsidP="007C613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C65E8" w:rsidRPr="00A96FB1" w:rsidRDefault="000C65E8" w:rsidP="000C65E8">
            <w:pPr>
              <w:spacing w:after="0"/>
              <w:rPr>
                <w:rFonts w:cstheme="minorHAnsi"/>
                <w:bCs/>
                <w:bdr w:val="none" w:sz="0" w:space="0" w:color="auto" w:frame="1"/>
              </w:rPr>
            </w:pPr>
          </w:p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Tkanina: 65%PES/35%BW. Koło ułożone zakładkami, wszyte w wysoki otok. W otoku gumka dopasowująca. Kolory: bordo, biały i granat, po 20 szt. w każdym kolorze</w:t>
            </w:r>
          </w:p>
          <w:p w:rsidR="009E42AC" w:rsidRPr="00A96FB1" w:rsidRDefault="009E42AC" w:rsidP="00A96FB1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9778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Zapaski kolorowe</w:t>
            </w:r>
          </w:p>
          <w:p w:rsidR="009E42AC" w:rsidRDefault="009E42AC" w:rsidP="007C613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C65E8" w:rsidRPr="00A96FB1" w:rsidRDefault="000C65E8" w:rsidP="000C65E8">
            <w:pPr>
              <w:spacing w:after="0"/>
              <w:rPr>
                <w:rFonts w:cstheme="minorHAnsi"/>
                <w:bCs/>
                <w:bdr w:val="none" w:sz="0" w:space="0" w:color="auto" w:frame="1"/>
              </w:rPr>
            </w:pPr>
          </w:p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Tkanina;65%PES/35%BW, długość 70 cm, paski do wiązania w talii. Dół i boki wykończone obrębem.  Rozmiar uniwersalny. Kolory: bordo, granat i czarny, po 20 szt. w każdym kolorze</w:t>
            </w:r>
          </w:p>
          <w:p w:rsidR="009E42AC" w:rsidRPr="00A96FB1" w:rsidRDefault="009E42AC" w:rsidP="00A96FB1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Pralka</w:t>
            </w:r>
          </w:p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Sposób załadunku: od przodu. Pojemność: 8-9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Prędkość wirowania: 1400 </w:t>
            </w:r>
            <w:proofErr w:type="spellStart"/>
            <w:r>
              <w:rPr>
                <w:rFonts w:ascii="Calibri" w:hAnsi="Calibri" w:cs="Calibri"/>
                <w:color w:val="000000"/>
              </w:rPr>
              <w:t>obr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/min. Silnik </w:t>
            </w:r>
            <w:proofErr w:type="spellStart"/>
            <w:r>
              <w:rPr>
                <w:rFonts w:ascii="Calibri" w:hAnsi="Calibri" w:cs="Calibri"/>
                <w:color w:val="000000"/>
              </w:rPr>
              <w:t>inwerterowy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 Klasa energetyczna A+++. Posiada </w:t>
            </w:r>
            <w:r>
              <w:rPr>
                <w:rFonts w:ascii="Calibri" w:hAnsi="Calibri" w:cs="Calibri"/>
                <w:color w:val="000000"/>
              </w:rPr>
              <w:lastRenderedPageBreak/>
              <w:t>program szybki</w:t>
            </w:r>
          </w:p>
          <w:p w:rsidR="009E42AC" w:rsidRPr="00A96FB1" w:rsidRDefault="009E42AC" w:rsidP="00A96FB1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1F3A7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1F3A7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1F3A7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Suszarka do prania</w:t>
            </w:r>
          </w:p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Wielkość załadunku: 8-9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Typ suszarki: kondensacyjna. System suszenia pompą cieplną. Silnik </w:t>
            </w:r>
            <w:proofErr w:type="spellStart"/>
            <w:r>
              <w:rPr>
                <w:rFonts w:ascii="Calibri" w:hAnsi="Calibri" w:cs="Calibri"/>
                <w:color w:val="000000"/>
              </w:rPr>
              <w:t>inwentorowy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Klasa energetyczna A+++. Wskaźnik poziomu wody. Posiada program szybki. Funkcja </w:t>
            </w:r>
            <w:proofErr w:type="spellStart"/>
            <w:r>
              <w:rPr>
                <w:rFonts w:ascii="Calibri" w:hAnsi="Calibri" w:cs="Calibri"/>
                <w:color w:val="000000"/>
              </w:rPr>
              <w:t>OptimalDry</w:t>
            </w:r>
            <w:proofErr w:type="spellEnd"/>
          </w:p>
          <w:p w:rsidR="009E42AC" w:rsidRPr="00A96FB1" w:rsidRDefault="009E42AC" w:rsidP="00A96FB1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Ekspres przelewowy z napełnianiem ręcznym</w:t>
            </w:r>
          </w:p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Metoda parzenia kawy </w:t>
            </w:r>
            <w:proofErr w:type="spellStart"/>
            <w:r>
              <w:rPr>
                <w:rFonts w:ascii="Calibri" w:hAnsi="Calibri" w:cs="Calibri"/>
                <w:color w:val="000000"/>
              </w:rPr>
              <w:t>pour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over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Zamontowanie zbiornika z wodą tuż nad filtrem kawy. Programowanie godziny uruchomienia procesu parzenia kawy (minutnik). Graficzny wyświetlacz informujący o postępie procesu zaparzania kawy. Możliwość ustawień trybu zaparzenia pomiędzy średnio lub mocno paloną. Pojemność 1.8 l  lub więcej, wybór ilości parzonych filiżanek. Funkcja pauzy. Funkcja automatycznego wyłączania oraz sygnał zakończenia parzenia / </w:t>
            </w:r>
            <w:r>
              <w:rPr>
                <w:rFonts w:ascii="Calibri" w:hAnsi="Calibri" w:cs="Calibri"/>
                <w:color w:val="000000"/>
              </w:rPr>
              <w:lastRenderedPageBreak/>
              <w:t>maksymalnego napełnienia. Podgrzewająca podstawka dzbanka utrzymująca temperaturę do 30 minut. Szklany dzbanek 1,18 l lub więcej. Pojemnik na kawę z klipsem do papierowego filtra. Zbiornik na wodę z pokrywką. Dziurkowana wylewka wody powodująca równomierne parzenie kawy.</w:t>
            </w:r>
          </w:p>
          <w:p w:rsidR="009E42AC" w:rsidRPr="00A96FB1" w:rsidRDefault="009E42AC" w:rsidP="000C65E8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Granitor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sporządzania mrożonych napojów na bazie soków</w:t>
            </w:r>
          </w:p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Sterowanie elektromechaniczne pojemność 2x 10l lub więcej zasilanie: 230V moc: 150W lub więcej materiał -poliwęglan wolny od BPA</w:t>
            </w:r>
          </w:p>
          <w:p w:rsidR="009E42AC" w:rsidRPr="00A96FB1" w:rsidRDefault="009E42AC" w:rsidP="00A96FB1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Warnik do wody</w:t>
            </w:r>
          </w:p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Izolowane podwójne ścianki ze stali nierdzewnej. Pokrywa typu twist-lock, wyposażone w nienagrzewające uchwyty. Termostat do sterowania, temp. do 100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C, grzałka umieszczona pod dnem z zabezpieczeniem przed zakamienieniem. Włącznik/wyłącznik zasilania z silikonową </w:t>
            </w:r>
            <w:r>
              <w:rPr>
                <w:rFonts w:ascii="Calibri" w:hAnsi="Calibri" w:cs="Calibri"/>
                <w:color w:val="000000"/>
              </w:rPr>
              <w:lastRenderedPageBreak/>
              <w:t>osłoną. Lampki kontrolne funkcji grzania i podgrzewania, wskaźnik poziomu wody z tacką ociekową. 2 sztuki o pojemności 20 l, 1 sztuka o pojemności 10 l.</w:t>
            </w:r>
          </w:p>
          <w:p w:rsidR="009E42AC" w:rsidRPr="00A96FB1" w:rsidRDefault="009E42AC" w:rsidP="000C65E8">
            <w:pPr>
              <w:spacing w:after="0"/>
              <w:outlineLvl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Mikser barmański</w:t>
            </w:r>
          </w:p>
          <w:p w:rsidR="009E42AC" w:rsidRDefault="009E42AC" w:rsidP="00725FF3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Pojemność nie mniejsza niż 3 l. Moc przyłączeniowa do 1 </w:t>
            </w: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  <w:r>
              <w:rPr>
                <w:rFonts w:ascii="Calibri" w:hAnsi="Calibri" w:cs="Calibri"/>
                <w:color w:val="000000"/>
              </w:rPr>
              <w:t>. Sterowanie elektroniczne z regulacją prędkości. Stal szlachetna. Wyłącznik bezpieczeństwa w pokrywie, funkcja pulsowania. Zamykana wylewka. Przystosowany do kruszenia lodu i rozdrabniania. Nóżki z przyssawkami.</w:t>
            </w:r>
          </w:p>
          <w:p w:rsidR="009E42AC" w:rsidRPr="00A96FB1" w:rsidRDefault="009E42AC" w:rsidP="000C65E8">
            <w:pPr>
              <w:spacing w:after="0"/>
              <w:outlineLvl w:val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Młynek do kawy</w:t>
            </w:r>
          </w:p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Elektryczny. Praca pulsacyjna/udarowa. Regulacja stopnia zmielenia kawy. Pojemność 300 g lub więcej. Moc 200 W lub więcej</w:t>
            </w:r>
          </w:p>
          <w:p w:rsidR="009E42AC" w:rsidRPr="00A96FB1" w:rsidRDefault="009E42AC" w:rsidP="0097788B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9778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Wyciskarka do cytrusów</w:t>
            </w:r>
          </w:p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Elektryczna. Obudowa wykonana z materiału odpornego na rdzę,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pojemnik na sok ze stali nierdzewnej ,w zestawie nakładki  stożkowe do wyciskania  małych  i dużych owoców cytrusowych oraz sitko wykonane  z tworzywa ABS, prędkość 1500 obrotów na minutę, manualne sterowanie, osłona  </w:t>
            </w:r>
            <w:proofErr w:type="spellStart"/>
            <w:r>
              <w:rPr>
                <w:rFonts w:ascii="Calibri" w:hAnsi="Calibri" w:cs="Calibri"/>
                <w:color w:val="000000"/>
              </w:rPr>
              <w:t>antyrozpryskowa</w:t>
            </w:r>
            <w:proofErr w:type="spellEnd"/>
            <w:r>
              <w:rPr>
                <w:rFonts w:ascii="Calibri" w:hAnsi="Calibri" w:cs="Calibri"/>
                <w:color w:val="000000"/>
              </w:rPr>
              <w:t>, wszystkie elementy do mycia w zmywarce.</w:t>
            </w:r>
          </w:p>
          <w:p w:rsidR="009E42AC" w:rsidRPr="00A96FB1" w:rsidRDefault="009E42AC" w:rsidP="00A96FB1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9778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7D5F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Kostkarka do lodu</w:t>
            </w:r>
          </w:p>
          <w:p w:rsidR="009E42AC" w:rsidRDefault="009E42AC" w:rsidP="007D5FC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Obudowa wykonana ze stali nierdzewnej, produkcja kostek metodą zalewową, zdolność mrożenia do 15 kg na 24 godz., pojemnik zasobu 4,5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>. lub więcej, bez stałego podłączenia do wody. Pojemność 150 kostek lub więcej.</w:t>
            </w:r>
          </w:p>
          <w:p w:rsidR="000C65E8" w:rsidRPr="00A96FB1" w:rsidRDefault="000C65E8" w:rsidP="000C65E8">
            <w:pPr>
              <w:spacing w:after="0"/>
              <w:rPr>
                <w:rFonts w:cstheme="minorHAnsi"/>
              </w:rPr>
            </w:pPr>
          </w:p>
          <w:p w:rsidR="009E42AC" w:rsidRPr="00A96FB1" w:rsidRDefault="009E42AC" w:rsidP="007D5FCE">
            <w:pPr>
              <w:spacing w:after="0"/>
              <w:outlineLvl w:val="0"/>
              <w:rPr>
                <w:rFonts w:cstheme="minorHAnsi"/>
              </w:rPr>
            </w:pPr>
            <w:r w:rsidRPr="00A96FB1">
              <w:rPr>
                <w:rFonts w:cstheme="minorHAnsi"/>
              </w:rPr>
              <w:tab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9778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7D5F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Kruszarka do lodu</w:t>
            </w:r>
          </w:p>
          <w:p w:rsidR="009E42AC" w:rsidRDefault="009E42AC" w:rsidP="007D5FC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Obudowa wykonana ze   stali nierdzewnej, szeroka rynienka załadowcza do lodu wykonana z tworzywa ABS, wytrzymały mechanizm kruszący z nożami ze stali nierdzewnej, przeźroczysty pojemnik o 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poj</w:t>
            </w:r>
            <w:proofErr w:type="spellEnd"/>
            <w:r>
              <w:rPr>
                <w:rFonts w:ascii="Calibri" w:hAnsi="Calibri" w:cs="Calibri"/>
                <w:color w:val="000000"/>
              </w:rPr>
              <w:t>.  12 kubków pokruszonego lodu lub więcej/ok.2,5 l.</w:t>
            </w:r>
          </w:p>
          <w:p w:rsidR="009E42AC" w:rsidRPr="00A96FB1" w:rsidRDefault="009E42AC" w:rsidP="007D5FCE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7D5F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0C65E8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6272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Podgrzewacz gastronomiczny </w:t>
            </w:r>
          </w:p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</w:p>
          <w:p w:rsidR="009E42AC" w:rsidRDefault="009E42AC" w:rsidP="006272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788B" w:rsidRDefault="0097788B" w:rsidP="00977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Kociołek do zupy 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8 l - szt. 1</w:t>
            </w:r>
            <w:r>
              <w:rPr>
                <w:rFonts w:ascii="Calibri" w:hAnsi="Calibri" w:cs="Calibri"/>
                <w:color w:val="000000"/>
              </w:rPr>
              <w:br/>
              <w:t>posiadający izolacje termiczną,</w:t>
            </w:r>
            <w:r>
              <w:rPr>
                <w:rFonts w:ascii="Calibri" w:hAnsi="Calibri" w:cs="Calibri"/>
                <w:color w:val="000000"/>
              </w:rPr>
              <w:br/>
              <w:t>obudowa ze polipropylenu w kolorze czarnym,</w:t>
            </w:r>
            <w:r>
              <w:rPr>
                <w:rFonts w:ascii="Calibri" w:hAnsi="Calibri" w:cs="Calibri"/>
                <w:color w:val="000000"/>
              </w:rPr>
              <w:br/>
              <w:t>pokrywa z izolowanym uchwytem i wycięciem na chochlę,</w:t>
            </w:r>
            <w:r>
              <w:rPr>
                <w:rFonts w:ascii="Calibri" w:hAnsi="Calibri" w:cs="Calibri"/>
                <w:color w:val="000000"/>
              </w:rPr>
              <w:br/>
              <w:t>uchwyt na etykietę na pokrywie,</w:t>
            </w:r>
            <w:r>
              <w:rPr>
                <w:rFonts w:ascii="Calibri" w:hAnsi="Calibri" w:cs="Calibri"/>
                <w:color w:val="000000"/>
              </w:rPr>
              <w:br/>
              <w:t>wkład na zupę ze stali nierdzewnej,</w:t>
            </w:r>
            <w:r>
              <w:rPr>
                <w:rFonts w:ascii="Calibri" w:hAnsi="Calibri" w:cs="Calibri"/>
                <w:color w:val="000000"/>
              </w:rPr>
              <w:br/>
              <w:t>aluminiowy pojemnik na wodę,</w:t>
            </w:r>
            <w:r>
              <w:rPr>
                <w:rFonts w:ascii="Calibri" w:hAnsi="Calibri" w:cs="Calibri"/>
                <w:color w:val="000000"/>
              </w:rPr>
              <w:br/>
              <w:t>moc  450W (+/-10W),</w:t>
            </w:r>
            <w:r>
              <w:rPr>
                <w:rFonts w:ascii="Calibri" w:hAnsi="Calibri" w:cs="Calibri"/>
                <w:color w:val="000000"/>
              </w:rPr>
              <w:br/>
              <w:t>cyfrowy wyświetlacz pokazujący temp. żądaną i rzeczywistą.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Podgrzewacz elektryczny prostokątny GN1/1 - szt. 1</w:t>
            </w:r>
            <w:r>
              <w:rPr>
                <w:rFonts w:ascii="Calibri" w:hAnsi="Calibri" w:cs="Calibri"/>
                <w:color w:val="000000"/>
              </w:rPr>
              <w:br/>
              <w:t>regulacja temperatury do 85 stopni C,</w:t>
            </w:r>
            <w:r>
              <w:rPr>
                <w:rFonts w:ascii="Calibri" w:hAnsi="Calibri" w:cs="Calibri"/>
                <w:color w:val="000000"/>
              </w:rPr>
              <w:br/>
              <w:t>wanna wodna wykonana ze stali nierdzewnej,</w:t>
            </w:r>
            <w:r>
              <w:rPr>
                <w:rFonts w:ascii="Calibri" w:hAnsi="Calibri" w:cs="Calibri"/>
                <w:color w:val="000000"/>
              </w:rPr>
              <w:br/>
              <w:t>lampka kontrolna, wyłącznik.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Podgrzewacz na pastę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rolltop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GN 1/1 - 2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cichy mechanizm otwierania,</w:t>
            </w:r>
            <w:r>
              <w:rPr>
                <w:rFonts w:ascii="Calibri" w:hAnsi="Calibri" w:cs="Calibri"/>
                <w:color w:val="000000"/>
              </w:rPr>
              <w:br/>
              <w:t>pokrywa otwierana do 180 stopni,</w:t>
            </w:r>
            <w:r>
              <w:rPr>
                <w:rFonts w:ascii="Calibri" w:hAnsi="Calibri" w:cs="Calibri"/>
                <w:color w:val="000000"/>
              </w:rPr>
              <w:br/>
              <w:t>możliwość zainstalowania grzałki,</w:t>
            </w:r>
            <w:r>
              <w:rPr>
                <w:rFonts w:ascii="Calibri" w:hAnsi="Calibri" w:cs="Calibri"/>
                <w:color w:val="000000"/>
              </w:rPr>
              <w:br/>
              <w:t>z 2 pojemnikami na pastę i pojemnikiem GN 1/1,</w:t>
            </w:r>
            <w:r>
              <w:rPr>
                <w:rFonts w:ascii="Calibri" w:hAnsi="Calibri" w:cs="Calibri"/>
                <w:color w:val="000000"/>
              </w:rPr>
              <w:br/>
              <w:t xml:space="preserve">stal </w:t>
            </w:r>
            <w:proofErr w:type="spellStart"/>
            <w:r>
              <w:rPr>
                <w:rFonts w:ascii="Calibri" w:hAnsi="Calibri" w:cs="Calibri"/>
                <w:color w:val="000000"/>
              </w:rPr>
              <w:t>wysokopolerowana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br/>
              <w:t>stelaż ze stali o grubości nie mniejszej niż 2mm</w:t>
            </w:r>
          </w:p>
          <w:p w:rsidR="009E42AC" w:rsidRPr="00A96FB1" w:rsidRDefault="009E42AC" w:rsidP="006272AF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7788B" w:rsidP="006272A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268C" w:rsidRPr="006C7B9D" w:rsidTr="00EC1F29">
        <w:trPr>
          <w:trHeight w:val="99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D2268C" w:rsidRPr="00D2268C" w:rsidRDefault="00D2268C" w:rsidP="00D2268C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l-PL"/>
              </w:rPr>
            </w:pPr>
            <w:r w:rsidRPr="00D2268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l-PL"/>
              </w:rPr>
              <w:lastRenderedPageBreak/>
              <w:t>RAZEM cena oferty:</w:t>
            </w:r>
          </w:p>
        </w:tc>
        <w:tc>
          <w:tcPr>
            <w:tcW w:w="2126" w:type="dxa"/>
          </w:tcPr>
          <w:p w:rsidR="00D2268C" w:rsidRPr="006C7B9D" w:rsidRDefault="00D2268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D2268C" w:rsidRPr="006C7B9D" w:rsidRDefault="00D2268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7080F" w:rsidRDefault="0097788B"/>
    <w:p w:rsidR="009E42AC" w:rsidRDefault="009E42AC"/>
    <w:p w:rsidR="009E42AC" w:rsidRPr="00D2268C" w:rsidRDefault="009E42AC">
      <w:pPr>
        <w:rPr>
          <w:b/>
          <w:color w:val="000000" w:themeColor="text1"/>
        </w:rPr>
      </w:pPr>
      <w:r w:rsidRPr="00D2268C">
        <w:rPr>
          <w:b/>
          <w:color w:val="000000" w:themeColor="text1"/>
        </w:rPr>
        <w:t>Uwaga:</w:t>
      </w:r>
    </w:p>
    <w:p w:rsidR="00A96FB1" w:rsidRPr="00D2268C" w:rsidRDefault="00A96FB1">
      <w:pPr>
        <w:rPr>
          <w:rFonts w:cstheme="minorHAnsi"/>
          <w:b/>
          <w:color w:val="000000" w:themeColor="text1"/>
          <w:sz w:val="24"/>
          <w:szCs w:val="24"/>
        </w:rPr>
      </w:pPr>
      <w:r w:rsidRPr="00D2268C">
        <w:rPr>
          <w:rFonts w:cstheme="minorHAnsi"/>
          <w:b/>
          <w:color w:val="000000" w:themeColor="text1"/>
          <w:sz w:val="24"/>
          <w:szCs w:val="24"/>
        </w:rPr>
        <w:t xml:space="preserve">Wszystkie elementy pneumatyki, hydrauliki, układów sterowania powinny być uzbrojone w przyłącza i posiadać mocowania </w:t>
      </w:r>
      <w:proofErr w:type="spellStart"/>
      <w:r w:rsidRPr="00D2268C">
        <w:rPr>
          <w:rFonts w:cstheme="minorHAnsi"/>
          <w:b/>
          <w:color w:val="000000" w:themeColor="text1"/>
          <w:sz w:val="24"/>
          <w:szCs w:val="24"/>
        </w:rPr>
        <w:t>FestoDidactic</w:t>
      </w:r>
      <w:proofErr w:type="spellEnd"/>
      <w:r w:rsidRPr="00D2268C">
        <w:rPr>
          <w:rFonts w:cstheme="minorHAnsi"/>
          <w:b/>
          <w:color w:val="000000" w:themeColor="text1"/>
          <w:sz w:val="24"/>
          <w:szCs w:val="24"/>
        </w:rPr>
        <w:t xml:space="preserve"> oraz powinny być kompatybilne i przystosowane do montażu na płytach profilowych </w:t>
      </w:r>
      <w:proofErr w:type="spellStart"/>
      <w:r w:rsidRPr="00D2268C">
        <w:rPr>
          <w:rFonts w:cstheme="minorHAnsi"/>
          <w:b/>
          <w:color w:val="000000" w:themeColor="text1"/>
          <w:sz w:val="24"/>
          <w:szCs w:val="24"/>
        </w:rPr>
        <w:t>FestoDidactic</w:t>
      </w:r>
      <w:proofErr w:type="spellEnd"/>
      <w:r w:rsidR="006A192E" w:rsidRPr="00D2268C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2268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Zgodnie z SIWZ – cenę </w:t>
      </w:r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brutto z </w:t>
      </w:r>
      <w:proofErr w:type="spellStart"/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Forlmularza</w:t>
      </w:r>
      <w:proofErr w:type="spellEnd"/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cenowego</w:t>
      </w:r>
      <w:r w:rsidRPr="00D2268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- technicznego należy przenieść </w:t>
      </w:r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do Formularza oferty</w:t>
      </w: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42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Wszystkie ce</w:t>
      </w:r>
      <w:r w:rsidRPr="00D2268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ny podane w niniejszym formularz</w:t>
      </w:r>
      <w:r w:rsidRPr="009E42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 musza być podane w polskich złotych (PLN), cyfrowo z dokładnością do dwóch miejsc po przecinku)</w:t>
      </w:r>
    </w:p>
    <w:p w:rsidR="0050503C" w:rsidRPr="00D2268C" w:rsidRDefault="0050503C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50503C" w:rsidRPr="00D2268C" w:rsidSect="00A64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8C7"/>
    <w:multiLevelType w:val="multilevel"/>
    <w:tmpl w:val="D1D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5D81"/>
    <w:multiLevelType w:val="hybridMultilevel"/>
    <w:tmpl w:val="EB20AE86"/>
    <w:lvl w:ilvl="0" w:tplc="066CDD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41F5"/>
    <w:multiLevelType w:val="hybridMultilevel"/>
    <w:tmpl w:val="2BAEF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1DA"/>
    <w:multiLevelType w:val="hybridMultilevel"/>
    <w:tmpl w:val="5934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4855"/>
    <w:multiLevelType w:val="hybridMultilevel"/>
    <w:tmpl w:val="45006AFE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2D2A"/>
    <w:multiLevelType w:val="multilevel"/>
    <w:tmpl w:val="B3C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E5D1A"/>
    <w:multiLevelType w:val="hybridMultilevel"/>
    <w:tmpl w:val="EEA27A2C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B6D7C"/>
    <w:multiLevelType w:val="hybridMultilevel"/>
    <w:tmpl w:val="930CD116"/>
    <w:lvl w:ilvl="0" w:tplc="066CDD6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16F2"/>
    <w:multiLevelType w:val="hybridMultilevel"/>
    <w:tmpl w:val="FCA62F10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D6F8D"/>
    <w:multiLevelType w:val="multilevel"/>
    <w:tmpl w:val="908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2239E"/>
    <w:multiLevelType w:val="hybridMultilevel"/>
    <w:tmpl w:val="4DECB17A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64067"/>
    <w:rsid w:val="00016616"/>
    <w:rsid w:val="00035809"/>
    <w:rsid w:val="00060991"/>
    <w:rsid w:val="000C65E8"/>
    <w:rsid w:val="001033E1"/>
    <w:rsid w:val="0011752C"/>
    <w:rsid w:val="00117F3C"/>
    <w:rsid w:val="001576BF"/>
    <w:rsid w:val="001A7982"/>
    <w:rsid w:val="001F3A7D"/>
    <w:rsid w:val="002A5823"/>
    <w:rsid w:val="00351F14"/>
    <w:rsid w:val="00387A57"/>
    <w:rsid w:val="003D37B3"/>
    <w:rsid w:val="004005F0"/>
    <w:rsid w:val="0043090E"/>
    <w:rsid w:val="00453CBA"/>
    <w:rsid w:val="00490CAE"/>
    <w:rsid w:val="00496644"/>
    <w:rsid w:val="004E091C"/>
    <w:rsid w:val="00504E74"/>
    <w:rsid w:val="0050503C"/>
    <w:rsid w:val="00533DAE"/>
    <w:rsid w:val="005E1B82"/>
    <w:rsid w:val="0067208C"/>
    <w:rsid w:val="006A192E"/>
    <w:rsid w:val="00725FF3"/>
    <w:rsid w:val="00755900"/>
    <w:rsid w:val="007C613F"/>
    <w:rsid w:val="00817357"/>
    <w:rsid w:val="00823029"/>
    <w:rsid w:val="00902959"/>
    <w:rsid w:val="009518F1"/>
    <w:rsid w:val="0097788B"/>
    <w:rsid w:val="009E42AC"/>
    <w:rsid w:val="009F6670"/>
    <w:rsid w:val="00A14511"/>
    <w:rsid w:val="00A57D22"/>
    <w:rsid w:val="00A64067"/>
    <w:rsid w:val="00A84DE1"/>
    <w:rsid w:val="00A96FB1"/>
    <w:rsid w:val="00B40B37"/>
    <w:rsid w:val="00B54ABC"/>
    <w:rsid w:val="00C15296"/>
    <w:rsid w:val="00C35C94"/>
    <w:rsid w:val="00C42C05"/>
    <w:rsid w:val="00C45A25"/>
    <w:rsid w:val="00CE2842"/>
    <w:rsid w:val="00D2268C"/>
    <w:rsid w:val="00D768E2"/>
    <w:rsid w:val="00D9071F"/>
    <w:rsid w:val="00DC4E10"/>
    <w:rsid w:val="00DF3213"/>
    <w:rsid w:val="00EB0722"/>
    <w:rsid w:val="00EC1A0A"/>
    <w:rsid w:val="00ED4391"/>
    <w:rsid w:val="00F14DB5"/>
    <w:rsid w:val="00F83B9E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67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16"/>
    <w:rPr>
      <w:rFonts w:ascii="Tahoma" w:hAnsi="Tahoma" w:cs="Tahoma"/>
      <w:sz w:val="16"/>
      <w:szCs w:val="16"/>
    </w:rPr>
  </w:style>
  <w:style w:type="character" w:customStyle="1" w:styleId="xrtj1">
    <w:name w:val="xr_tj1"/>
    <w:rsid w:val="00C45A25"/>
  </w:style>
  <w:style w:type="character" w:customStyle="1" w:styleId="normaltext1">
    <w:name w:val="normal_text1"/>
    <w:rsid w:val="00C45A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C45A25"/>
  </w:style>
  <w:style w:type="character" w:customStyle="1" w:styleId="productname">
    <w:name w:val="productname"/>
    <w:basedOn w:val="Domylnaczcionkaakapitu"/>
    <w:rsid w:val="001F3A7D"/>
  </w:style>
  <w:style w:type="character" w:customStyle="1" w:styleId="apple-converted-space">
    <w:name w:val="apple-converted-space"/>
    <w:basedOn w:val="Domylnaczcionkaakapitu"/>
    <w:rsid w:val="001F3A7D"/>
  </w:style>
  <w:style w:type="paragraph" w:customStyle="1" w:styleId="p1">
    <w:name w:val="p1"/>
    <w:basedOn w:val="Normalny"/>
    <w:rsid w:val="001F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1">
    <w:name w:val="Podtytuł1"/>
    <w:basedOn w:val="Domylnaczcionkaakapitu"/>
    <w:rsid w:val="001F3A7D"/>
  </w:style>
  <w:style w:type="character" w:styleId="Hipercze">
    <w:name w:val="Hyperlink"/>
    <w:basedOn w:val="Domylnaczcionkaakapitu"/>
    <w:uiPriority w:val="99"/>
    <w:unhideWhenUsed/>
    <w:rsid w:val="00505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67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16"/>
    <w:rPr>
      <w:rFonts w:ascii="Tahoma" w:hAnsi="Tahoma" w:cs="Tahoma"/>
      <w:sz w:val="16"/>
      <w:szCs w:val="16"/>
    </w:rPr>
  </w:style>
  <w:style w:type="character" w:customStyle="1" w:styleId="xrtj1">
    <w:name w:val="xr_tj1"/>
    <w:rsid w:val="00C45A25"/>
  </w:style>
  <w:style w:type="character" w:customStyle="1" w:styleId="normaltext1">
    <w:name w:val="normal_text1"/>
    <w:rsid w:val="00C45A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C45A25"/>
  </w:style>
  <w:style w:type="character" w:customStyle="1" w:styleId="productname">
    <w:name w:val="productname"/>
    <w:basedOn w:val="Domylnaczcionkaakapitu"/>
    <w:rsid w:val="001F3A7D"/>
  </w:style>
  <w:style w:type="character" w:customStyle="1" w:styleId="apple-converted-space">
    <w:name w:val="apple-converted-space"/>
    <w:basedOn w:val="Domylnaczcionkaakapitu"/>
    <w:rsid w:val="001F3A7D"/>
  </w:style>
  <w:style w:type="paragraph" w:customStyle="1" w:styleId="p1">
    <w:name w:val="p1"/>
    <w:basedOn w:val="Normalny"/>
    <w:rsid w:val="001F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1">
    <w:name w:val="Podtytuł1"/>
    <w:basedOn w:val="Domylnaczcionkaakapitu"/>
    <w:rsid w:val="001F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0317B4-8D17-46ED-AB69-B4E6F181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Stańkowska</dc:creator>
  <cp:lastModifiedBy>a.rozenfeld</cp:lastModifiedBy>
  <cp:revision>2</cp:revision>
  <dcterms:created xsi:type="dcterms:W3CDTF">2020-12-28T17:14:00Z</dcterms:created>
  <dcterms:modified xsi:type="dcterms:W3CDTF">2020-12-28T17:14:00Z</dcterms:modified>
</cp:coreProperties>
</file>