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>..............                                          ............................, dnia: ……………....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>
      <w:pPr>
        <w:pStyle w:val="Normal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>(wnioskodawca, adres)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Style w:val="Domylnaczcionkaakapitu"/>
          <w:rFonts w:cs="Times New Roman"/>
        </w:rPr>
        <w:t xml:space="preserve">……………………………………                               </w:t>
      </w:r>
      <w:r>
        <w:rPr>
          <w:rStyle w:val="Domylnaczcionkaakapitu"/>
          <w:rFonts w:cs="Times New Roman"/>
          <w:b/>
        </w:rPr>
        <w:t xml:space="preserve"> </w:t>
      </w:r>
    </w:p>
    <w:p>
      <w:pPr>
        <w:pStyle w:val="Normal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>(telefon kontaktowy)</w:t>
      </w:r>
    </w:p>
    <w:p>
      <w:pPr>
        <w:pStyle w:val="Normal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Starostwo Powiatowe      </w:t>
      </w:r>
    </w:p>
    <w:p>
      <w:pPr>
        <w:pStyle w:val="Normal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 Zielonej Górze</w:t>
      </w:r>
    </w:p>
    <w:p>
      <w:pPr>
        <w:pStyle w:val="Normal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ul. Podgórna 5               </w:t>
      </w:r>
    </w:p>
    <w:p>
      <w:pPr>
        <w:pStyle w:val="Normal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65-057 Zielona Góra</w:t>
      </w:r>
    </w:p>
    <w:p>
      <w:pPr>
        <w:pStyle w:val="Normal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  <w:t>WNIOSEK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b/>
          <w:u w:val="single"/>
        </w:rPr>
        <w:t>o sprzedaż nieruchomości gruntowej zabudowanej na rzecz jej użytkownika wieczystego na podstawie działu VIa  przepisów epizodycznych dotyczących roszczenia o sprzedaż nieruchomości gruntowej na rzecz jej użytkownika wieczystego ustawy z dnia 21 sierpnia 1997 r. o gospodarce nieruchomościami (t.j: Dz.U. z 2023 r. poz. 344 ze zm.)</w:t>
      </w:r>
    </w:p>
    <w:p>
      <w:pPr>
        <w:pStyle w:val="Normal"/>
        <w:jc w:val="center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jc w:val="center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i/>
          <w:lang w:eastAsia="ar-SA"/>
        </w:rPr>
        <w:tab/>
      </w:r>
      <w:r>
        <w:rPr>
          <w:rStyle w:val="Domylnaczcionkaakapitu"/>
          <w:rFonts w:eastAsia="Times New Roman" w:cs="Times New Roman"/>
          <w:lang w:eastAsia="ar-SA"/>
        </w:rPr>
        <w:t xml:space="preserve">Na podstawie art. 198g ustawy z dnia 21 sierpnia 1997 r. </w:t>
      </w:r>
      <w:bookmarkStart w:id="0" w:name="target_link_mfrxilrsgq4tinboobqxalrugeyt"/>
      <w:bookmarkEnd w:id="0"/>
      <w:r>
        <w:rPr>
          <w:rStyle w:val="Domylnaczcionkaakapitu"/>
          <w:rFonts w:eastAsia="Times New Roman" w:cs="Times New Roman"/>
          <w:lang w:eastAsia="ar-SA"/>
        </w:rPr>
        <w:t>(t.j: Dz.U. z 2023 r. poz. 344 ze zm.) wnoszę o sprzedaż niżej opisanej nieruchomości: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położenie nieruchomości (obręb, gmina) ...............................................................................</w:t>
      </w:r>
    </w:p>
    <w:p>
      <w:pPr>
        <w:pStyle w:val="Normal"/>
        <w:tabs>
          <w:tab w:val="clear" w:pos="709"/>
        </w:tabs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numer ewidencyjny działki .................... ujawnionej w księdze wieczystej KW Nr ......................................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powierzchnia nieruchomości zabudowanej ....................................................</w:t>
      </w:r>
    </w:p>
    <w:p>
      <w:pPr>
        <w:pStyle w:val="Akapitzlis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</w:tabs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stanowiącej własność Skarbu Państwa w użytkowaniu wieczystym (dane użytkownika wieczystego):</w:t>
      </w:r>
    </w:p>
    <w:p>
      <w:pPr>
        <w:pStyle w:val="Normal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ab/>
      </w:r>
      <w:r>
        <w:rPr>
          <w:rStyle w:val="Domylnaczcionkaakapitu"/>
          <w:rFonts w:eastAsia="Times New Roman" w:cs="Times New Roman"/>
          <w:u w:val="single"/>
          <w:lang w:eastAsia="ar-SA"/>
        </w:rPr>
        <w:t>Ponadto oświadczam, iż:</w:t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przedmiotowa nieruchomość została pierwotnie oddana w użytkowanie wieczyste w dniu ............................................. na cel .....................................................................</w:t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nieruchomość oddana w użytkowanie wieczyste, jest wykorzystywana zgodnie                             ze zobowiązaniem określonym w umowie o oddanie nieruchomości gruntowej                              w użytkowanie wieczyste: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 </w:t>
      </w:r>
      <w:r>
        <w:rPr>
          <w:rStyle w:val="Domylnaczcionkaakapitu"/>
          <w:rFonts w:eastAsia="Times New Roman" w:cs="Times New Roman"/>
          <w:lang w:eastAsia="ar-SA"/>
        </w:rPr>
        <w:tab/>
        <w:tab/>
        <w:tab/>
        <w:tab/>
        <w:t>□ TAK      □  NIE           □  NIE WIEM</w:t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położona jest na terenie portów i przystani morskich w rozumieniu art. 2 pkt 2 ustawy z dnia 20 grudnia 1996 r. o portach i przystaniach morskich (Dz. U. z 2022 r. poz. 1624                       oraz z 2023 r. poz. 261):</w:t>
      </w:r>
    </w:p>
    <w:p>
      <w:pPr>
        <w:pStyle w:val="Normal"/>
        <w:tabs>
          <w:tab w:val="clear" w:pos="709"/>
        </w:tabs>
        <w:ind w:left="2127" w:firstLine="709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 □ </w:t>
      </w:r>
      <w:r>
        <w:rPr>
          <w:rStyle w:val="Domylnaczcionkaakapitu"/>
          <w:rFonts w:eastAsia="Times New Roman" w:cs="Times New Roman"/>
          <w:lang w:eastAsia="ar-SA"/>
        </w:rPr>
        <w:t>TAK      □  NIE          □  NIE WIEM</w:t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w/w nieruchomość jest wykorzystywana na prowadzenie rodzinnego ogrodu działkowego  </w:t>
        <w:br/>
        <w:t xml:space="preserve">w rozumieniu art. 2 pkt 5 ustawy z dnia 13 grudnia 2013 r. o rodzinnych ogrodach działkowych:    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 </w:t>
      </w:r>
      <w:r>
        <w:rPr>
          <w:rStyle w:val="Domylnaczcionkaakapitu"/>
          <w:rFonts w:eastAsia="Times New Roman" w:cs="Times New Roman"/>
          <w:lang w:eastAsia="ar-SA"/>
        </w:rPr>
        <w:tab/>
        <w:tab/>
        <w:tab/>
        <w:tab/>
        <w:tab/>
        <w:t xml:space="preserve">□ TAK       □  NIE    </w:t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przedmiotowa nieruchomość jest zabudowana: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           </w:t>
      </w:r>
      <w:r>
        <w:rPr>
          <w:rStyle w:val="Domylnaczcionkaakapitu"/>
          <w:rFonts w:eastAsia="Times New Roman" w:cs="Times New Roman"/>
          <w:lang w:eastAsia="ar-SA"/>
        </w:rPr>
        <w:tab/>
        <w:tab/>
        <w:tab/>
        <w:tab/>
        <w:t xml:space="preserve">           □ TAK       □  NIE</w:t>
      </w:r>
    </w:p>
    <w:p>
      <w:pPr>
        <w:pStyle w:val="Normal"/>
        <w:jc w:val="both"/>
        <w:rPr>
          <w:rFonts w:eastAsia="Times New Roman" w:cs="Times New Roman"/>
          <w:i/>
          <w:i/>
          <w:lang w:eastAsia="ar-SA"/>
        </w:rPr>
      </w:pPr>
      <w:r>
        <w:rPr>
          <w:rFonts w:eastAsia="Times New Roman" w:cs="Times New Roman"/>
          <w:i/>
          <w:lang w:eastAsia="ar-SA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rodzaj zabudowy znajdującej się na nieruchomości (np. budynek gospodarczy, garaż itp.): </w:t>
      </w:r>
    </w:p>
    <w:p>
      <w:pPr>
        <w:pStyle w:val="Normal"/>
        <w:tabs>
          <w:tab w:val="clear" w:pos="709"/>
        </w:tabs>
        <w:ind w:left="720" w:hanging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tabs>
          <w:tab w:val="clear" w:pos="709"/>
        </w:tabs>
        <w:ind w:left="720" w:hanging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720" w:hanging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tabs>
          <w:tab w:val="clear" w:pos="709"/>
        </w:tabs>
        <w:ind w:left="720" w:hanging="0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przedmiotowa nieruchomość jest wykorzystywana do prowadzenia działalności gospodarczej w myśl art. 3 ustawy z dnia 6 marca 2018r. - Prawo przedsiębiorców (Dz. U. z 2023r. poz. 221, 641 i 803)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          </w:t>
      </w:r>
      <w:r>
        <w:rPr>
          <w:rStyle w:val="Domylnaczcionkaakapitu"/>
          <w:rFonts w:eastAsia="Times New Roman" w:cs="Times New Roman"/>
          <w:lang w:eastAsia="ar-SA"/>
        </w:rPr>
        <w:tab/>
        <w:tab/>
        <w:tab/>
        <w:tab/>
        <w:tab/>
        <w:t>□ TAK       □  NIE</w:t>
      </w:r>
    </w:p>
    <w:p>
      <w:pPr>
        <w:pStyle w:val="Normal"/>
        <w:jc w:val="both"/>
        <w:rPr>
          <w:rFonts w:eastAsia="Times New Roman" w:cs="Times New Roman"/>
          <w:u w:val="single"/>
          <w:lang w:eastAsia="ar-SA"/>
        </w:rPr>
      </w:pPr>
      <w:r>
        <w:rPr>
          <w:rFonts w:eastAsia="Times New Roman" w:cs="Times New Roman"/>
          <w:u w:val="single"/>
          <w:lang w:eastAsia="ar-SA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u w:val="single"/>
          <w:lang w:eastAsia="ar-SA"/>
        </w:rPr>
        <w:t>jeżeli TAK</w:t>
      </w:r>
      <w:r>
        <w:rPr>
          <w:rStyle w:val="Domylnaczcionkaakapitu"/>
          <w:rFonts w:eastAsia="Times New Roman" w:cs="Times New Roman"/>
          <w:lang w:eastAsia="ar-SA"/>
        </w:rPr>
        <w:t xml:space="preserve">: do wniosku należy dołączyć formularz informacji przy ubieganiu się o pomoc de minimis oraz </w:t>
      </w:r>
      <w:r>
        <w:rPr>
          <w:rStyle w:val="Hgkelc"/>
          <w:rFonts w:cs="Times New Roman"/>
        </w:rPr>
        <w:t xml:space="preserve">wszystkie zaświadczenia o </w:t>
      </w:r>
      <w:r>
        <w:rPr>
          <w:rStyle w:val="Hgkelc"/>
          <w:rFonts w:cs="Times New Roman"/>
          <w:bCs/>
        </w:rPr>
        <w:t>pomocy de minimis</w:t>
      </w:r>
      <w:r>
        <w:rPr>
          <w:rStyle w:val="Hgkelc"/>
          <w:rFonts w:cs="Times New Roman"/>
        </w:rPr>
        <w:t xml:space="preserve">, </w:t>
      </w:r>
      <w:r>
        <w:rPr>
          <w:rStyle w:val="Hgkelc"/>
          <w:rFonts w:cs="Times New Roman"/>
          <w:bCs/>
        </w:rPr>
        <w:t>jakie</w:t>
      </w:r>
      <w:r>
        <w:rPr>
          <w:rStyle w:val="Hgkelc"/>
          <w:rFonts w:cs="Times New Roman"/>
        </w:rPr>
        <w:t xml:space="preserve"> podatnik otrzymał w roku kalendarzowym, w którym skorzystał z </w:t>
      </w:r>
      <w:r>
        <w:rPr>
          <w:rStyle w:val="Hgkelc"/>
          <w:rFonts w:cs="Times New Roman"/>
          <w:bCs/>
        </w:rPr>
        <w:t>pomocy</w:t>
      </w:r>
      <w:r>
        <w:rPr>
          <w:rStyle w:val="Hgkelc"/>
          <w:rFonts w:cs="Times New Roman"/>
        </w:rPr>
        <w:t xml:space="preserve">, oraz w ciągu 2 poprzedzających go lat, albo oświadczenie o wielkości </w:t>
      </w:r>
      <w:r>
        <w:rPr>
          <w:rStyle w:val="Hgkelc"/>
          <w:rFonts w:cs="Times New Roman"/>
          <w:bCs/>
        </w:rPr>
        <w:t>pomocy de minimis</w:t>
      </w:r>
      <w:r>
        <w:rPr>
          <w:rStyle w:val="Hgkelc"/>
          <w:rFonts w:cs="Times New Roman"/>
        </w:rPr>
        <w:t xml:space="preserve"> otrzymanej w tym okresie albo oświadczenie o nieotrzymaniu takiej </w:t>
      </w:r>
      <w:r>
        <w:rPr>
          <w:rStyle w:val="Hgkelc"/>
          <w:rFonts w:cs="Times New Roman"/>
          <w:bCs/>
        </w:rPr>
        <w:t>pomocy</w:t>
      </w:r>
      <w:r>
        <w:rPr>
          <w:rStyle w:val="Hgkelc"/>
          <w:rFonts w:cs="Times New Roman"/>
        </w:rPr>
        <w:t xml:space="preserve">.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wnoszę o:</w:t>
      </w:r>
    </w:p>
    <w:p>
      <w:pPr>
        <w:pStyle w:val="Normal"/>
        <w:tabs>
          <w:tab w:val="left" w:pos="399" w:leader="none"/>
          <w:tab w:val="left" w:pos="605" w:leader="none"/>
          <w:tab w:val="left" w:pos="1004" w:leader="none"/>
          <w:tab w:val="left" w:pos="1016" w:leader="none"/>
        </w:tabs>
        <w:rPr/>
      </w:pPr>
      <w:r>
        <w:rPr>
          <w:rStyle w:val="Domylnaczcionkaakapitu"/>
          <w:rFonts w:eastAsia="Times New Roman" w:cs="Times New Roman"/>
          <w:lang w:eastAsia="ar-SA"/>
        </w:rPr>
        <w:t xml:space="preserve">□   </w:t>
      </w:r>
      <w:r>
        <w:rPr>
          <w:rStyle w:val="Domylnaczcionkaakapitu"/>
          <w:rFonts w:eastAsia="Times New Roman" w:cs="Times New Roman"/>
          <w:b/>
          <w:bCs/>
          <w:u w:val="single"/>
          <w:lang w:eastAsia="ar-SA"/>
        </w:rPr>
        <w:t>naliczenie zapłaty ceny jednorazowo,</w:t>
      </w:r>
      <w:r>
        <w:rPr>
          <w:rStyle w:val="Domylnaczcionkaakapitu"/>
          <w:rFonts w:eastAsia="Times New Roman" w:cs="Times New Roman"/>
          <w:lang w:eastAsia="ar-SA"/>
        </w:rPr>
        <w:t xml:space="preserve"> tj.: jako dwudziestokrotność kwoty stanowiącej       </w:t>
        <w:tab/>
        <w:t xml:space="preserve">          iloczyn dotychczasowej stawki procentowej opłaty rocznej z tytułu użytkowania </w:t>
        <w:tab/>
        <w:t>wieczystego oraz wartości nieruchomości gruntowej określonej na dzień zawarcia umowy sprzedaży;</w:t>
      </w:r>
    </w:p>
    <w:p>
      <w:pPr>
        <w:pStyle w:val="Normal"/>
        <w:tabs>
          <w:tab w:val="left" w:pos="399" w:leader="none"/>
          <w:tab w:val="left" w:pos="605" w:leader="none"/>
          <w:tab w:val="left" w:pos="1004" w:leader="none"/>
          <w:tab w:val="left" w:pos="1016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089" w:leader="none"/>
          <w:tab w:val="left" w:pos="1149" w:leader="none"/>
        </w:tabs>
        <w:rPr/>
      </w:pPr>
      <w:r>
        <w:rPr>
          <w:rStyle w:val="Domylnaczcionkaakapitu"/>
          <w:rFonts w:eastAsia="Times New Roman" w:cs="Times New Roman"/>
          <w:lang w:eastAsia="ar-SA"/>
        </w:rPr>
        <w:t xml:space="preserve">□  </w:t>
      </w:r>
      <w:r>
        <w:rPr>
          <w:rStyle w:val="Domylnaczcionkaakapitu"/>
          <w:rFonts w:eastAsia="Times New Roman" w:cs="Times New Roman"/>
          <w:b/>
          <w:bCs/>
          <w:u w:val="single"/>
          <w:lang w:eastAsia="ar-SA"/>
        </w:rPr>
        <w:t>rozłożenie ceny na raty,</w:t>
      </w:r>
      <w:r>
        <w:rPr>
          <w:rStyle w:val="Domylnaczcionkaakapitu"/>
          <w:rFonts w:eastAsia="Times New Roman" w:cs="Times New Roman"/>
          <w:lang w:eastAsia="ar-SA"/>
        </w:rPr>
        <w:t xml:space="preserve"> tj.: jako dwudziestopięciokrotność kwoty stanowiącej iloczyn dotychczasowej stawki procentowej opłaty rocznej z tytułu użytkowania wieczystego oraz wartości nieruchomości gruntowej określonej na dzień zawarcia umowy sprzedaży;</w:t>
      </w:r>
    </w:p>
    <w:p>
      <w:pPr>
        <w:pStyle w:val="Normal"/>
        <w:tabs>
          <w:tab w:val="left" w:pos="1089" w:leader="none"/>
          <w:tab w:val="left" w:pos="1149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3"/>
        </w:numPr>
        <w:tabs>
          <w:tab w:val="left" w:pos="-1071" w:leader="none"/>
          <w:tab w:val="left" w:pos="-1011" w:leader="none"/>
        </w:tabs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>oświadczam, że na podstawie art 198k  spełniam warunki bonifikaty na dowód czego przedkładam ................................................................. i tym samym wnoszę o jej udzielenie</w:t>
      </w:r>
      <w:r>
        <w:rPr>
          <w:rStyle w:val="Domylnaczcionkaakapitu"/>
          <w:rFonts w:eastAsia="Times New Roman" w:cs="Times New Roman"/>
          <w:position w:val="24"/>
          <w:sz w:val="16"/>
          <w:lang w:eastAsia="ar-SA"/>
        </w:rPr>
        <w:t>*</w:t>
      </w:r>
      <w:r>
        <w:rPr>
          <w:rStyle w:val="Domylnaczcionkaakapitu"/>
          <w:rFonts w:eastAsia="Times New Roman" w:cs="Times New Roman"/>
          <w:lang w:eastAsia="ar-SA"/>
        </w:rPr>
        <w:t>:</w:t>
      </w:r>
    </w:p>
    <w:p>
      <w:pPr>
        <w:pStyle w:val="Normal"/>
        <w:tabs>
          <w:tab w:val="left" w:pos="1089" w:leader="none"/>
          <w:tab w:val="left" w:pos="1149" w:leader="none"/>
        </w:tabs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ab/>
        <w:tab/>
        <w:tab/>
        <w:tab/>
        <w:tab/>
        <w:t xml:space="preserve">  □ TAK          □ NIE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*Zgodnie z art. 198k bonifikata może zostać udzielona osobie fizycznej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       </w:t>
      </w:r>
    </w:p>
    <w:p>
      <w:pPr>
        <w:pStyle w:val="Normal"/>
        <w:jc w:val="both"/>
        <w:rPr>
          <w:rFonts w:eastAsia="Times New Roman" w:cs="Times New Roman"/>
          <w:szCs w:val="20"/>
          <w:lang w:val="de-DE" w:eastAsia="ar-SA"/>
        </w:rPr>
      </w:pPr>
      <w:r>
        <w:rPr>
          <w:rFonts w:eastAsia="Times New Roman" w:cs="Times New Roman"/>
          <w:szCs w:val="20"/>
          <w:lang w:val="de-DE" w:eastAsia="ar-SA"/>
        </w:rPr>
        <w:tab/>
        <w:tab/>
        <w:tab/>
        <w:tab/>
        <w:tab/>
        <w:tab/>
        <w:tab/>
        <w:t>...................................................................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szCs w:val="20"/>
          <w:lang w:val="de-DE" w:eastAsia="ar-SA"/>
        </w:rPr>
        <w:tab/>
        <w:tab/>
        <w:tab/>
        <w:tab/>
        <w:tab/>
        <w:tab/>
        <w:tab/>
        <w:tab/>
        <w:t xml:space="preserve">    </w:t>
      </w:r>
      <w:r>
        <w:rPr>
          <w:rStyle w:val="Domylnaczcionkaakapitu"/>
          <w:rFonts w:eastAsia="Times New Roman" w:cs="Times New Roman"/>
          <w:sz w:val="20"/>
          <w:szCs w:val="20"/>
          <w:lang w:val="de-DE" w:eastAsia="ar-SA"/>
        </w:rPr>
        <w:t>(podpis Wnioskodawcy)</w:t>
      </w:r>
    </w:p>
    <w:p>
      <w:pPr>
        <w:pStyle w:val="Normal"/>
        <w:spacing w:before="120" w:after="0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</w:r>
      <w:bookmarkStart w:id="1" w:name="Bookmark"/>
      <w:bookmarkStart w:id="2" w:name="Bookmark"/>
      <w:bookmarkEnd w:id="2"/>
    </w:p>
    <w:p>
      <w:pPr>
        <w:pStyle w:val="Normal"/>
        <w:spacing w:lineRule="exact" w:line="300"/>
        <w:jc w:val="both"/>
        <w:rPr>
          <w:rFonts w:eastAsia="Times New Roman" w:cs="Times New Roman"/>
          <w:b/>
          <w:b/>
          <w:u w:val="single"/>
          <w:lang w:eastAsia="ar-SA"/>
        </w:rPr>
      </w:pPr>
      <w:bookmarkStart w:id="3" w:name="Bookmark"/>
      <w:bookmarkEnd w:id="3"/>
      <w:r>
        <w:rPr>
          <w:rFonts w:eastAsia="Times New Roman" w:cs="Times New Roman"/>
          <w:b/>
          <w:u w:val="single"/>
          <w:lang w:eastAsia="ar-SA"/>
        </w:rPr>
        <w:t>Do wniosku dołącza się:</w:t>
      </w:r>
    </w:p>
    <w:p>
      <w:pPr>
        <w:pStyle w:val="Akapitzlist"/>
        <w:numPr>
          <w:ilvl w:val="0"/>
          <w:numId w:val="5"/>
        </w:numPr>
        <w:spacing w:lineRule="exact" w:line="320"/>
        <w:ind w:left="284" w:hanging="284"/>
        <w:jc w:val="both"/>
        <w:rPr/>
      </w:pPr>
      <w:r>
        <w:rPr>
          <w:rStyle w:val="Domylnaczcionkaakapitu"/>
          <w:rFonts w:eastAsia="Times New Roman" w:cs="Times New Roman"/>
          <w:lang w:eastAsia="pl-PL"/>
        </w:rPr>
        <w:t>dokumentację fotograficzną zabudowy znajdującej się na wnioskowanej do wykupu nieruchomości;</w:t>
      </w:r>
      <w:r>
        <w:rPr>
          <w:rStyle w:val="Domylnaczcionkaakapitu"/>
          <w:rFonts w:eastAsia="Times New Roman" w:cs="Times New Roman"/>
          <w:lang w:eastAsia="ar-SA"/>
        </w:rPr>
        <w:tab/>
      </w:r>
    </w:p>
    <w:p>
      <w:pPr>
        <w:pStyle w:val="Akapitzlist"/>
        <w:spacing w:lineRule="exact" w:line="320"/>
        <w:ind w:left="0" w:hanging="0"/>
        <w:jc w:val="both"/>
        <w:rPr>
          <w:rFonts w:eastAsia="Times New Roman" w:cs="Times New Roman"/>
          <w:sz w:val="16"/>
          <w:szCs w:val="16"/>
          <w:u w:val="single"/>
          <w:lang w:eastAsia="ar-SA"/>
        </w:rPr>
      </w:pPr>
      <w:r>
        <w:rPr>
          <w:rFonts w:eastAsia="Times New Roman" w:cs="Times New Roman"/>
          <w:sz w:val="16"/>
          <w:szCs w:val="16"/>
          <w:u w:val="single"/>
          <w:lang w:eastAsia="ar-SA"/>
        </w:rPr>
        <w:t>słownik: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>art. 2 pkt 2 ustawy z dnia 20 grudnia 1996 r. o portach i przystaniach morskich (Dz. U. z 2022 r. poz. 1624 oraz z  2023 r. poz. 261) -</w:t>
      </w:r>
      <w:bookmarkStart w:id="4" w:name="highlightHit_30"/>
      <w:bookmarkEnd w:id="4"/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 xml:space="preserve"> cyt.: "</w:t>
      </w:r>
      <w:r>
        <w:rPr>
          <w:rStyle w:val="Domylnaczcionkaakapitu"/>
          <w:rFonts w:cs="Times New Roman"/>
          <w:i/>
          <w:iCs/>
          <w:sz w:val="16"/>
          <w:szCs w:val="16"/>
        </w:rPr>
        <w:t xml:space="preserve">porcie lub </w:t>
      </w:r>
      <w:bookmarkStart w:id="5" w:name="highlightHit_31"/>
      <w:bookmarkEnd w:id="5"/>
      <w:r>
        <w:rPr>
          <w:rStyle w:val="Domylnaczcionkaakapitu"/>
          <w:rFonts w:cs="Times New Roman"/>
          <w:i/>
          <w:iCs/>
          <w:sz w:val="16"/>
          <w:szCs w:val="16"/>
        </w:rPr>
        <w:t xml:space="preserve">przystani </w:t>
      </w:r>
      <w:bookmarkStart w:id="6" w:name="highlightHit_32"/>
      <w:bookmarkEnd w:id="6"/>
      <w:r>
        <w:rPr>
          <w:rStyle w:val="Domylnaczcionkaakapitu"/>
          <w:rFonts w:cs="Times New Roman"/>
          <w:i/>
          <w:iCs/>
          <w:sz w:val="16"/>
          <w:szCs w:val="16"/>
        </w:rPr>
        <w:t xml:space="preserve">morskiej - rozumie się przez to akweny </w:t>
      </w:r>
      <w:bookmarkStart w:id="7" w:name="highlightHit_33"/>
      <w:bookmarkEnd w:id="7"/>
      <w:r>
        <w:rPr>
          <w:rStyle w:val="Domylnaczcionkaakapitu"/>
          <w:rFonts w:cs="Times New Roman"/>
          <w:i/>
          <w:iCs/>
          <w:sz w:val="16"/>
          <w:szCs w:val="16"/>
        </w:rPr>
        <w:t xml:space="preserve">i grunty oraz związaną z nimi infrastrukturę portową, znajdujące się w granicach </w:t>
      </w:r>
      <w:bookmarkStart w:id="8" w:name="highlightHit_34"/>
      <w:bookmarkEnd w:id="8"/>
      <w:r>
        <w:rPr>
          <w:rStyle w:val="Domylnaczcionkaakapitu"/>
          <w:rFonts w:cs="Times New Roman"/>
          <w:i/>
          <w:iCs/>
          <w:sz w:val="16"/>
          <w:szCs w:val="16"/>
        </w:rPr>
        <w:t xml:space="preserve">portu lub </w:t>
      </w:r>
      <w:bookmarkStart w:id="9" w:name="highlightHit_35"/>
      <w:bookmarkEnd w:id="9"/>
      <w:r>
        <w:rPr>
          <w:rStyle w:val="Domylnaczcionkaakapitu"/>
          <w:rFonts w:cs="Times New Roman"/>
          <w:i/>
          <w:iCs/>
          <w:sz w:val="16"/>
          <w:szCs w:val="16"/>
        </w:rPr>
        <w:t xml:space="preserve">przystani </w:t>
      </w:r>
      <w:bookmarkStart w:id="10" w:name="highlightHit_36"/>
      <w:bookmarkEnd w:id="10"/>
      <w:r>
        <w:rPr>
          <w:rStyle w:val="Domylnaczcionkaakapitu"/>
          <w:rFonts w:cs="Times New Roman"/>
          <w:i/>
          <w:iCs/>
          <w:sz w:val="16"/>
          <w:szCs w:val="16"/>
        </w:rPr>
        <w:t>morskiej;"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 xml:space="preserve"> </w:t>
      </w:r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 xml:space="preserve">art. 2 pkt 5 ustawy z dnia 13 grudnia 2013 r. o rodzinnych ogrodach działkowych- cyt.: </w:t>
      </w:r>
      <w:bookmarkStart w:id="11" w:name="highlightHit_22"/>
      <w:bookmarkEnd w:id="11"/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>"</w:t>
      </w:r>
      <w:r>
        <w:rPr>
          <w:rStyle w:val="Domylnaczcionkaakapitu"/>
          <w:rFonts w:eastAsia="Times New Roman" w:cs="Times New Roman"/>
          <w:i/>
          <w:iCs/>
          <w:sz w:val="16"/>
          <w:szCs w:val="16"/>
          <w:lang w:eastAsia="ar-SA"/>
        </w:rPr>
        <w:t xml:space="preserve">rodzinnym </w:t>
      </w:r>
      <w:bookmarkStart w:id="12" w:name="highlightHit_23"/>
      <w:bookmarkEnd w:id="12"/>
      <w:r>
        <w:rPr>
          <w:rStyle w:val="Domylnaczcionkaakapitu"/>
          <w:rFonts w:eastAsia="Times New Roman" w:cs="Times New Roman"/>
          <w:i/>
          <w:iCs/>
          <w:sz w:val="16"/>
          <w:szCs w:val="16"/>
          <w:lang w:eastAsia="ar-SA"/>
        </w:rPr>
        <w:t xml:space="preserve">ogrodzie </w:t>
      </w:r>
      <w:bookmarkStart w:id="13" w:name="highlightHit_24"/>
      <w:bookmarkEnd w:id="13"/>
      <w:r>
        <w:rPr>
          <w:rStyle w:val="Domylnaczcionkaakapitu"/>
          <w:rFonts w:eastAsia="Times New Roman" w:cs="Times New Roman"/>
          <w:i/>
          <w:iCs/>
          <w:sz w:val="16"/>
          <w:szCs w:val="16"/>
          <w:lang w:eastAsia="ar-SA"/>
        </w:rPr>
        <w:t xml:space="preserve">działkowym - należy przez to rozumieć wydzielony obszar lub obszary przeznaczone na cele </w:t>
      </w:r>
      <w:bookmarkStart w:id="14" w:name="highlightHit_25"/>
      <w:bookmarkEnd w:id="14"/>
      <w:r>
        <w:rPr>
          <w:rStyle w:val="Domylnaczcionkaakapitu"/>
          <w:rFonts w:eastAsia="Times New Roman" w:cs="Times New Roman"/>
          <w:i/>
          <w:iCs/>
          <w:sz w:val="16"/>
          <w:szCs w:val="16"/>
          <w:lang w:eastAsia="ar-SA"/>
        </w:rPr>
        <w:t xml:space="preserve">rodzinnych </w:t>
      </w:r>
      <w:bookmarkStart w:id="15" w:name="highlightHit_26"/>
      <w:bookmarkEnd w:id="15"/>
      <w:r>
        <w:rPr>
          <w:rStyle w:val="Domylnaczcionkaakapitu"/>
          <w:rFonts w:eastAsia="Times New Roman" w:cs="Times New Roman"/>
          <w:i/>
          <w:iCs/>
          <w:sz w:val="16"/>
          <w:szCs w:val="16"/>
          <w:lang w:eastAsia="ar-SA"/>
        </w:rPr>
        <w:t xml:space="preserve">ogrodów </w:t>
      </w:r>
      <w:bookmarkStart w:id="16" w:name="highlightHit_27"/>
      <w:bookmarkEnd w:id="16"/>
      <w:r>
        <w:rPr>
          <w:rStyle w:val="Domylnaczcionkaakapitu"/>
          <w:rFonts w:eastAsia="Times New Roman" w:cs="Times New Roman"/>
          <w:i/>
          <w:iCs/>
          <w:sz w:val="16"/>
          <w:szCs w:val="16"/>
          <w:lang w:eastAsia="ar-SA"/>
        </w:rPr>
        <w:t>działkowych, składające się z działek i terenu ogólnego, służące do wspólnego korzystania przez działkowców, wyposażone w infrastrukturę ogrodową;"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>art. 3 ustawy z dnia 6 marca 2018r. - Prawo przedsiębiorców (Dz. U. z 2023r. poz. 221, 641 i  803)-cyt.:  "</w:t>
      </w:r>
      <w:r>
        <w:rPr>
          <w:rStyle w:val="Domylnaczcionkaakapitu"/>
          <w:rFonts w:eastAsia="Times New Roman" w:cs="Times New Roman"/>
          <w:i/>
          <w:iCs/>
          <w:sz w:val="16"/>
          <w:szCs w:val="16"/>
          <w:lang w:eastAsia="ar-SA"/>
        </w:rPr>
        <w:t>[Definicja działalności gospodarczej] Działalnością gospodarczą jest zorganizowana działalność zarobkowa, wykonywana we własnym imieniu i w sposób ciągły."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 xml:space="preserve">nieruchomość zabudowana - zgodnie z art. 3 ustawy z dnia 7 lipca 1994 r. prawo budowlane </w:t>
      </w:r>
      <w:bookmarkStart w:id="17" w:name="target_link_mfrxilrsgq2dinroobqxalruga4d"/>
      <w:bookmarkStart w:id="18" w:name="main-form%3Afull-content-document-view-p"/>
      <w:bookmarkEnd w:id="17"/>
      <w:bookmarkEnd w:id="18"/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>(Dz. U. z 2023 r. poz. 682)</w:t>
      </w:r>
    </w:p>
    <w:sectPr>
      <w:type w:val="nextPage"/>
      <w:pgSz w:w="11906" w:h="16838"/>
      <w:pgMar w:left="1134" w:right="1134" w:header="0" w:top="339" w:footer="0" w:bottom="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rFonts w:ascii="Times New Roman" w:hAnsi="Times New Roman" w:eastAsia="SimSun"/>
      <w:b/>
      <w:bCs/>
      <w:sz w:val="48"/>
      <w:szCs w:val="48"/>
    </w:rPr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cs="Calibri"/>
      <w:sz w:val="22"/>
      <w:szCs w:val="22"/>
    </w:rPr>
  </w:style>
  <w:style w:type="character" w:styleId="ListLabel2">
    <w:name w:val="ListLabel 2"/>
    <w:qFormat/>
    <w:rPr>
      <w:rFonts w:cs="Calibri"/>
      <w:sz w:val="20"/>
      <w:szCs w:val="20"/>
    </w:rPr>
  </w:style>
  <w:style w:type="character" w:styleId="ListLabel3">
    <w:name w:val="ListLabel 3"/>
    <w:qFormat/>
    <w:rPr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>
    <w:name w:val="Znaki numeracji"/>
    <w:qFormat/>
    <w:rPr/>
  </w:style>
  <w:style w:type="character" w:styleId="Hgkelc">
    <w:name w:val="hgkelc"/>
    <w:basedOn w:val="Domylnaczcionkaakapitu"/>
    <w:qFormat/>
    <w:rPr/>
  </w:style>
  <w:style w:type="character" w:styleId="WWCharLFO1LVL1">
    <w:name w:val="WW_CharLFO1LVL1"/>
    <w:qFormat/>
    <w:rPr>
      <w:rFonts w:cs="Calibri"/>
      <w:sz w:val="22"/>
      <w:szCs w:val="22"/>
    </w:rPr>
  </w:style>
  <w:style w:type="character" w:styleId="WWCharLFO2LVL1">
    <w:name w:val="WW_CharLFO2LVL1"/>
    <w:qFormat/>
    <w:rPr>
      <w:rFonts w:cs="Calibri"/>
      <w:sz w:val="20"/>
      <w:szCs w:val="20"/>
    </w:rPr>
  </w:style>
  <w:style w:type="character" w:styleId="WWCharLFO2LVL2">
    <w:name w:val="WW_CharLFO2LVL2"/>
    <w:qFormat/>
    <w:rPr>
      <w:rFonts w:ascii="Symbol" w:hAnsi="Symbol"/>
      <w:sz w:val="20"/>
    </w:rPr>
  </w:style>
  <w:style w:type="character" w:styleId="WWCharLFO2LVL3">
    <w:name w:val="WW_CharLFO2LVL3"/>
    <w:qFormat/>
    <w:rPr>
      <w:rFonts w:ascii="Symbol" w:hAnsi="Symbol"/>
      <w:sz w:val="20"/>
    </w:rPr>
  </w:style>
  <w:style w:type="character" w:styleId="WWCharLFO2LVL4">
    <w:name w:val="WW_CharLFO2LVL4"/>
    <w:qFormat/>
    <w:rPr>
      <w:rFonts w:ascii="Symbol" w:hAnsi="Symbol"/>
      <w:sz w:val="20"/>
    </w:rPr>
  </w:style>
  <w:style w:type="character" w:styleId="WWCharLFO2LVL5">
    <w:name w:val="WW_CharLFO2LVL5"/>
    <w:qFormat/>
    <w:rPr>
      <w:rFonts w:ascii="Symbol" w:hAnsi="Symbol"/>
      <w:sz w:val="20"/>
    </w:rPr>
  </w:style>
  <w:style w:type="character" w:styleId="WWCharLFO2LVL6">
    <w:name w:val="WW_CharLFO2LVL6"/>
    <w:qFormat/>
    <w:rPr>
      <w:rFonts w:ascii="Symbol" w:hAnsi="Symbol"/>
      <w:sz w:val="20"/>
    </w:rPr>
  </w:style>
  <w:style w:type="character" w:styleId="WWCharLFO2LVL7">
    <w:name w:val="WW_CharLFO2LVL7"/>
    <w:qFormat/>
    <w:rPr>
      <w:rFonts w:ascii="Symbol" w:hAnsi="Symbol"/>
      <w:sz w:val="20"/>
    </w:rPr>
  </w:style>
  <w:style w:type="character" w:styleId="WWCharLFO2LVL8">
    <w:name w:val="WW_CharLFO2LVL8"/>
    <w:qFormat/>
    <w:rPr>
      <w:rFonts w:ascii="Symbol" w:hAnsi="Symbol"/>
      <w:sz w:val="20"/>
    </w:rPr>
  </w:style>
  <w:style w:type="character" w:styleId="WWCharLFO2LVL9">
    <w:name w:val="WW_CharLFO2LVL9"/>
    <w:qFormat/>
    <w:rPr>
      <w:rFonts w:ascii="Symbol" w:hAnsi="Symbol"/>
      <w:sz w:val="20"/>
    </w:rPr>
  </w:style>
  <w:style w:type="character" w:styleId="WWCharLFO3LVL1">
    <w:name w:val="WW_CharLFO3LVL1"/>
    <w:qFormat/>
    <w:rPr>
      <w:rFonts w:ascii="Symbol" w:hAnsi="Symbol"/>
      <w:sz w:val="20"/>
    </w:rPr>
  </w:style>
  <w:style w:type="character" w:styleId="WWCharLFO3LVL2">
    <w:name w:val="WW_CharLFO3LVL2"/>
    <w:qFormat/>
    <w:rPr>
      <w:sz w:val="20"/>
    </w:rPr>
  </w:style>
  <w:style w:type="character" w:styleId="WWCharLFO3LVL3">
    <w:name w:val="WW_CharLFO3LVL3"/>
    <w:qFormat/>
    <w:rPr>
      <w:sz w:val="20"/>
    </w:rPr>
  </w:style>
  <w:style w:type="character" w:styleId="WWCharLFO3LVL4">
    <w:name w:val="WW_CharLFO3LVL4"/>
    <w:qFormat/>
    <w:rPr>
      <w:sz w:val="20"/>
    </w:rPr>
  </w:style>
  <w:style w:type="character" w:styleId="WWCharLFO3LVL5">
    <w:name w:val="WW_CharLFO3LVL5"/>
    <w:qFormat/>
    <w:rPr>
      <w:sz w:val="20"/>
    </w:rPr>
  </w:style>
  <w:style w:type="character" w:styleId="WWCharLFO3LVL6">
    <w:name w:val="WW_CharLFO3LVL6"/>
    <w:qFormat/>
    <w:rPr>
      <w:sz w:val="20"/>
    </w:rPr>
  </w:style>
  <w:style w:type="character" w:styleId="WWCharLFO3LVL7">
    <w:name w:val="WW_CharLFO3LVL7"/>
    <w:qFormat/>
    <w:rPr>
      <w:sz w:val="20"/>
    </w:rPr>
  </w:style>
  <w:style w:type="character" w:styleId="WWCharLFO3LVL8">
    <w:name w:val="WW_CharLFO3LVL8"/>
    <w:qFormat/>
    <w:rPr>
      <w:sz w:val="20"/>
    </w:rPr>
  </w:style>
  <w:style w:type="character" w:styleId="WWCharLFO3LVL9">
    <w:name w:val="WW_CharLFO3LVL9"/>
    <w:qFormat/>
    <w:rPr>
      <w:sz w:val="20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StarSymbol" w:hAnsi="Star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StarSymbol" w:hAnsi="StarSymbol" w:eastAsia="OpenSymbol" w:cs="OpenSymbol"/>
    </w:rPr>
  </w:style>
  <w:style w:type="character" w:styleId="WWCharLFO6LVL2">
    <w:name w:val="WW_CharLFO6LVL2"/>
    <w:qFormat/>
    <w:rPr>
      <w:rFonts w:ascii="OpenSymbol" w:hAnsi="OpenSymbol" w:eastAsia="OpenSymbol" w:cs="OpenSymbol"/>
    </w:rPr>
  </w:style>
  <w:style w:type="character" w:styleId="WWCharLFO6LVL3">
    <w:name w:val="WW_CharLFO6LVL3"/>
    <w:qFormat/>
    <w:rPr>
      <w:rFonts w:ascii="OpenSymbol" w:hAnsi="OpenSymbol" w:eastAsia="OpenSymbol" w:cs="OpenSymbol"/>
    </w:rPr>
  </w:style>
  <w:style w:type="character" w:styleId="WWCharLFO6LVL4">
    <w:name w:val="WW_CharLFO6LVL4"/>
    <w:qFormat/>
    <w:rPr>
      <w:rFonts w:ascii="OpenSymbol" w:hAnsi="OpenSymbol" w:eastAsia="OpenSymbol" w:cs="OpenSymbol"/>
    </w:rPr>
  </w:style>
  <w:style w:type="character" w:styleId="WWCharLFO6LVL5">
    <w:name w:val="WW_CharLFO6LVL5"/>
    <w:qFormat/>
    <w:rPr>
      <w:rFonts w:ascii="OpenSymbol" w:hAnsi="OpenSymbol" w:eastAsia="OpenSymbol" w:cs="OpenSymbol"/>
    </w:rPr>
  </w:style>
  <w:style w:type="character" w:styleId="WWCharLFO6LVL6">
    <w:name w:val="WW_CharLFO6LVL6"/>
    <w:qFormat/>
    <w:rPr>
      <w:rFonts w:ascii="OpenSymbol" w:hAnsi="OpenSymbol" w:eastAsia="OpenSymbol" w:cs="OpenSymbol"/>
    </w:rPr>
  </w:style>
  <w:style w:type="character" w:styleId="WWCharLFO6LVL7">
    <w:name w:val="WW_CharLFO6LVL7"/>
    <w:qFormat/>
    <w:rPr>
      <w:rFonts w:ascii="OpenSymbol" w:hAnsi="OpenSymbol" w:eastAsia="OpenSymbol" w:cs="OpenSymbol"/>
    </w:rPr>
  </w:style>
  <w:style w:type="character" w:styleId="WWCharLFO6LVL8">
    <w:name w:val="WW_CharLFO6LVL8"/>
    <w:qFormat/>
    <w:rPr>
      <w:rFonts w:ascii="OpenSymbol" w:hAnsi="OpenSymbol" w:eastAsia="OpenSymbol" w:cs="OpenSymbol"/>
    </w:rPr>
  </w:style>
  <w:style w:type="character" w:styleId="WWCharLFO6LVL9">
    <w:name w:val="WW_CharLFO6LVL9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eastAsia="Times New Roman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LibreOffice/6.0.1.1$Windows_x86 LibreOffice_project/60bfb1526849283ce2491346ed2aa51c465abfe6</Application>
  <Pages>1</Pages>
  <Words>833</Words>
  <Characters>5000</Characters>
  <CharactersWithSpaces>5822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2022-01-14T12:06:00Z</dcterms:created>
  <dc:creator/>
  <dc:description/>
  <dc:language>pl-PL</dc:language>
  <cp:lastModifiedBy>Agata Olejniczak</cp:lastModifiedBy>
  <cp:lastPrinted>2023-09-13T05:36:00Z</cp:lastPrinted>
  <dcterms:modified xsi:type="dcterms:W3CDTF">2023-10-26T12:13:00Z</dcterms:modified>
  <cp:revision>11</cp:revision>
  <dc:subject/>
  <dc:title/>
</cp:coreProperties>
</file>